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542" w:rsidP="00AD6542">
      <w:pPr>
        <w:pStyle w:val="Title"/>
      </w:pPr>
      <w:r>
        <w:fldChar w:fldCharType="begin"/>
      </w:r>
      <w:r>
        <w:instrText xml:space="preserve"> TITLE   \* MERGEFORMAT </w:instrText>
      </w:r>
      <w:r>
        <w:fldChar w:fldCharType="separate"/>
      </w:r>
      <w:r>
        <w:t>AURT203670B Service diesel fuel injection systems</w:t>
      </w:r>
      <w:r>
        <w:fldChar w:fldCharType="end"/>
      </w:r>
    </w:p>
    <w:p w:rsidR="00AD6542" w:rsidP="00AD6542">
      <w:pPr>
        <w:pStyle w:val="Version"/>
        <w:sectPr w:rsidSect="00B701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193" w:rsidP="00B70193">
      <w:pPr>
        <w:pStyle w:val="SuperHeading"/>
      </w:pPr>
      <w:r w:rsidRPr="00B70193">
        <w:t>AURT203670B Service diesel fuel injection systems</w:t>
      </w:r>
    </w:p>
    <w:p w:rsidR="00000000" w:rsidRPr="00B70193" w:rsidP="00B70193">
      <w:pPr>
        <w:pStyle w:val="Heading1"/>
      </w:pPr>
      <w:bookmarkStart w:id="1" w:name="O_268527"/>
      <w:bookmarkEnd w:id="1"/>
      <w:r w:rsidRPr="00B70193">
        <w:t>Modification History</w:t>
      </w:r>
    </w:p>
    <w:p w:rsidR="00000000" w:rsidRPr="00B70193" w:rsidP="00B70193">
      <w:pPr>
        <w:pStyle w:val="BodyText"/>
      </w:pPr>
      <w:r w:rsidRPr="00B70193">
        <w:t>Not Applicable</w:t>
      </w:r>
    </w:p>
    <w:p w:rsidR="00000000" w:rsidRPr="00B70193" w:rsidP="00B70193">
      <w:pPr>
        <w:pStyle w:val="AllowPageBreak"/>
      </w:pPr>
    </w:p>
    <w:p w:rsidR="00000000" w:rsidRPr="00B70193" w:rsidP="00B70193">
      <w:pPr>
        <w:pStyle w:val="Heading1"/>
      </w:pPr>
      <w:bookmarkStart w:id="2" w:name="O_192832"/>
      <w:bookmarkEnd w:id="2"/>
      <w:r w:rsidRPr="00B70193">
        <w:t>Unit Descriptor</w:t>
      </w:r>
    </w:p>
    <w:tbl>
      <w:tblPr>
        <w:tblW w:w="0" w:type="auto"/>
        <w:tblLayout w:type="fixed"/>
        <w:tblCellMar>
          <w:left w:w="62" w:type="dxa"/>
          <w:right w:w="62" w:type="dxa"/>
        </w:tblCellMar>
        <w:tblLook w:val="0000"/>
      </w:tblPr>
      <w:tblGrid>
        <w:gridCol w:w="2669"/>
        <w:gridCol w:w="5853"/>
      </w:tblGrid>
      <w:tr w:rsidTr="00AD6542">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 xml:space="preserve">This unit of competency describes the skills and knowledge required to service diesel fuel injection </w:t>
            </w:r>
            <w:r w:rsidRPr="00B70193">
              <w:t>systems and components in an automotive retail, service and/or repair context.</w:t>
            </w:r>
          </w:p>
          <w:p w:rsidR="00000000" w:rsidRPr="00B70193" w:rsidP="00B70193">
            <w:pPr>
              <w:pStyle w:val="BodyText"/>
            </w:pPr>
            <w:r w:rsidRPr="00B70193">
              <w:t>No licensing, legislative, regulatory or certification requirements apply to this unit at the time of publication.</w:t>
            </w:r>
          </w:p>
        </w:tc>
      </w:tr>
    </w:tbl>
    <w:p w:rsidR="00AD6542" w:rsidP="00B70193">
      <w:pPr>
        <w:pStyle w:val="BodyText"/>
      </w:pPr>
    </w:p>
    <w:p w:rsidR="00AD6542" w:rsidP="00B70193">
      <w:pPr>
        <w:pStyle w:val="BodyText"/>
      </w:pPr>
    </w:p>
    <w:p w:rsidR="00000000" w:rsidRPr="00B70193" w:rsidP="00B70193">
      <w:pPr>
        <w:pStyle w:val="Heading1"/>
      </w:pPr>
      <w:bookmarkStart w:id="3" w:name="O_192836"/>
      <w:bookmarkEnd w:id="3"/>
      <w:r w:rsidRPr="00B70193">
        <w:t>Application of the Unit</w:t>
      </w:r>
    </w:p>
    <w:tbl>
      <w:tblPr>
        <w:tblW w:w="0" w:type="auto"/>
        <w:tblLayout w:type="fixed"/>
        <w:tblCellMar>
          <w:left w:w="62" w:type="dxa"/>
          <w:right w:w="62" w:type="dxa"/>
        </w:tblCellMar>
        <w:tblLook w:val="0000"/>
      </w:tblPr>
      <w:tblGrid>
        <w:gridCol w:w="2752"/>
        <w:gridCol w:w="5770"/>
      </w:tblGrid>
      <w:tr w:rsidTr="00AD6542">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This unit applies to individuals who undertake servicing of diesel fuel injection systems and completion of work finalisation processes, including clean-up and documentation.</w:t>
            </w:r>
          </w:p>
        </w:tc>
      </w:tr>
    </w:tbl>
    <w:p w:rsidR="00AD6542" w:rsidP="00B70193">
      <w:pPr>
        <w:pStyle w:val="BodyText"/>
      </w:pPr>
    </w:p>
    <w:p w:rsidR="00AD6542" w:rsidP="00B70193">
      <w:pPr>
        <w:pStyle w:val="BodyText"/>
      </w:pPr>
    </w:p>
    <w:p w:rsidR="00000000" w:rsidRPr="00B70193" w:rsidP="00B70193">
      <w:pPr>
        <w:pStyle w:val="Heading1"/>
      </w:pPr>
      <w:bookmarkStart w:id="4" w:name="O_276787"/>
      <w:bookmarkEnd w:id="4"/>
      <w:r w:rsidRPr="00B70193">
        <w:t>Licensing/Regulatory Information</w:t>
      </w:r>
    </w:p>
    <w:p w:rsidR="00000000" w:rsidRPr="00B70193" w:rsidP="00B70193">
      <w:pPr>
        <w:pStyle w:val="BodyText"/>
      </w:pPr>
      <w:r w:rsidRPr="00B70193">
        <w:t>Refe</w:t>
      </w:r>
      <w:r w:rsidRPr="00B70193">
        <w:t>r to Unit Descriptor</w:t>
      </w:r>
    </w:p>
    <w:p w:rsidR="00000000" w:rsidRPr="00B70193" w:rsidP="00B70193">
      <w:pPr>
        <w:pStyle w:val="AllowPageBreak"/>
      </w:pPr>
    </w:p>
    <w:p w:rsidR="00000000" w:rsidRPr="00B70193" w:rsidP="00B70193">
      <w:pPr>
        <w:pStyle w:val="Heading1"/>
      </w:pPr>
      <w:bookmarkStart w:id="5" w:name="O_192834"/>
      <w:bookmarkEnd w:id="5"/>
      <w:r w:rsidRPr="00B70193">
        <w:t>Pre-Requisites</w:t>
      </w:r>
    </w:p>
    <w:tbl>
      <w:tblPr>
        <w:tblW w:w="0" w:type="auto"/>
        <w:tblLayout w:type="fixed"/>
        <w:tblCellMar>
          <w:left w:w="62" w:type="dxa"/>
          <w:right w:w="62" w:type="dxa"/>
        </w:tblCellMar>
        <w:tblLook w:val="0000"/>
      </w:tblPr>
      <w:tblGrid>
        <w:gridCol w:w="2775"/>
        <w:gridCol w:w="1295"/>
        <w:gridCol w:w="4452"/>
      </w:tblGrid>
      <w:tr w:rsidTr="00AD65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p>
        </w:tc>
      </w:tr>
      <w:tr w:rsidTr="00AD65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p>
        </w:tc>
      </w:tr>
      <w:tr w:rsidTr="00AD65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p>
        </w:tc>
      </w:tr>
    </w:tbl>
    <w:p w:rsidR="00AD6542" w:rsidP="00B70193">
      <w:pPr>
        <w:pStyle w:val="BodyText"/>
      </w:pPr>
    </w:p>
    <w:p w:rsidR="00AD6542" w:rsidP="00B70193">
      <w:pPr>
        <w:pStyle w:val="BodyText"/>
      </w:pPr>
    </w:p>
    <w:p w:rsidR="00000000" w:rsidRPr="00B70193" w:rsidP="00B70193">
      <w:pPr>
        <w:pStyle w:val="Heading1"/>
      </w:pPr>
      <w:bookmarkStart w:id="6" w:name="O_192833"/>
      <w:bookmarkEnd w:id="6"/>
      <w:r w:rsidRPr="00B70193">
        <w:t>Employability Skills Information</w:t>
      </w:r>
    </w:p>
    <w:tbl>
      <w:tblPr>
        <w:tblW w:w="0" w:type="auto"/>
        <w:tblLayout w:type="fixed"/>
        <w:tblCellMar>
          <w:left w:w="62" w:type="dxa"/>
          <w:right w:w="62" w:type="dxa"/>
        </w:tblCellMar>
        <w:tblLook w:val="0000"/>
      </w:tblPr>
      <w:tblGrid>
        <w:gridCol w:w="2802"/>
        <w:gridCol w:w="5720"/>
      </w:tblGrid>
      <w:tr w:rsidTr="00AD65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This unit contains employability skills.</w:t>
            </w:r>
          </w:p>
        </w:tc>
      </w:tr>
    </w:tbl>
    <w:p w:rsidR="00AD6542" w:rsidP="00B70193">
      <w:pPr>
        <w:pStyle w:val="BodyText"/>
      </w:pPr>
    </w:p>
    <w:p w:rsidR="00AD6542" w:rsidP="00B70193">
      <w:pPr>
        <w:pStyle w:val="BodyText"/>
      </w:pPr>
    </w:p>
    <w:p w:rsidR="00000000" w:rsidRPr="00B70193" w:rsidP="00B70193">
      <w:pPr>
        <w:pStyle w:val="Heading1"/>
      </w:pPr>
      <w:bookmarkStart w:id="7" w:name="O_286573"/>
      <w:bookmarkEnd w:id="7"/>
      <w:r w:rsidRPr="00B70193">
        <w:t>Elements and Performance Criteria Pre-Content</w:t>
      </w:r>
    </w:p>
    <w:tbl>
      <w:tblPr>
        <w:tblW w:w="0" w:type="auto"/>
        <w:tblLayout w:type="fixed"/>
        <w:tblCellMar>
          <w:left w:w="62" w:type="dxa"/>
          <w:right w:w="62" w:type="dxa"/>
        </w:tblCellMar>
        <w:tblLook w:val="0000"/>
      </w:tblPr>
      <w:tblGrid>
        <w:gridCol w:w="2524"/>
        <w:gridCol w:w="5998"/>
      </w:tblGrid>
      <w:tr w:rsidTr="00AD654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Performance criteria describe the performance needed to demonstrate achievement of the element. Assessment of performance is to be consistent wi</w:t>
            </w:r>
            <w:r w:rsidRPr="00B70193">
              <w:t>th the evidence guide.</w:t>
            </w:r>
          </w:p>
        </w:tc>
      </w:tr>
    </w:tbl>
    <w:p w:rsidR="00000000" w:rsidRPr="00B70193" w:rsidP="00B70193">
      <w:pPr>
        <w:pStyle w:val="BodyText"/>
      </w:pPr>
    </w:p>
    <w:p w:rsidR="00000000" w:rsidRPr="00B70193" w:rsidP="00B70193">
      <w:pPr>
        <w:pStyle w:val="AllowPageBreak"/>
      </w:pPr>
    </w:p>
    <w:p w:rsidR="00000000" w:rsidRPr="00B70193" w:rsidP="00B70193">
      <w:pPr>
        <w:pStyle w:val="Heading1"/>
      </w:pPr>
      <w:bookmarkStart w:id="8" w:name="O_233240"/>
      <w:bookmarkEnd w:id="8"/>
      <w:r w:rsidRPr="00B70193">
        <w:t>Elements and Performance Criteria</w:t>
      </w:r>
    </w:p>
    <w:tbl>
      <w:tblPr>
        <w:tblW w:w="0" w:type="auto"/>
        <w:tblLayout w:type="fixed"/>
        <w:tblCellMar>
          <w:left w:w="62" w:type="dxa"/>
          <w:right w:w="62" w:type="dxa"/>
        </w:tblCellMar>
        <w:tblLook w:val="0000"/>
      </w:tblPr>
      <w:tblGrid>
        <w:gridCol w:w="2524"/>
        <w:gridCol w:w="5998"/>
      </w:tblGrid>
      <w:tr w:rsidTr="00AD6542">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PERFORMANCE CRITERIA</w:t>
            </w:r>
          </w:p>
        </w:tc>
      </w:tr>
      <w:tr w:rsidTr="00AD654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List"/>
              <w:rPr>
                <w:lang w:val="en-NZ"/>
              </w:rPr>
            </w:pPr>
            <w:r w:rsidRPr="00B70193">
              <w:t>1.</w:t>
            </w:r>
            <w:r w:rsidRPr="00B70193">
              <w:tab/>
              <w:t xml:space="preserve">Prepare to service diesel fuel system components </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List2"/>
            </w:pPr>
            <w:r w:rsidRPr="00B70193">
              <w:t>1.1.</w:t>
            </w:r>
            <w:r w:rsidRPr="00B70193">
              <w:tab/>
              <w:t>Determine job requirements, including method, processes and equipment</w:t>
            </w:r>
          </w:p>
          <w:p w:rsidR="00000000" w:rsidRPr="00B70193" w:rsidP="00B70193">
            <w:pPr>
              <w:pStyle w:val="List2"/>
            </w:pPr>
            <w:r w:rsidRPr="00B70193">
              <w:t>1.2.</w:t>
            </w:r>
            <w:r w:rsidRPr="00B70193">
              <w:tab/>
            </w:r>
            <w:r w:rsidRPr="00B70193">
              <w:t>Read and interpret job specifications</w:t>
            </w:r>
          </w:p>
          <w:p w:rsidR="00000000" w:rsidRPr="00B70193" w:rsidP="00B70193">
            <w:pPr>
              <w:pStyle w:val="List2"/>
            </w:pPr>
            <w:r w:rsidRPr="00B70193">
              <w:t>1.3.</w:t>
            </w:r>
            <w:r w:rsidRPr="00B70193">
              <w:tab/>
              <w:t>Access and interpret information from manufacturer/component supplier specifications and workshop manuals</w:t>
            </w:r>
          </w:p>
          <w:p w:rsidR="00000000" w:rsidRPr="00B70193" w:rsidP="00B70193">
            <w:pPr>
              <w:pStyle w:val="List2"/>
            </w:pPr>
            <w:r w:rsidRPr="00B70193">
              <w:t>1.4.</w:t>
            </w:r>
            <w:r w:rsidRPr="00B70193">
              <w:tab/>
              <w:t>Identify and prepare equipment, resources and tooling and check for safe and effective operation</w:t>
            </w:r>
          </w:p>
          <w:p w:rsidR="00000000" w:rsidP="00B70193">
            <w:pPr>
              <w:pStyle w:val="List2"/>
              <w:rPr>
                <w:lang w:val="en-NZ"/>
              </w:rPr>
            </w:pPr>
            <w:r w:rsidRPr="00B70193">
              <w:t>1.5.</w:t>
            </w:r>
            <w:r w:rsidRPr="00B70193">
              <w:tab/>
            </w:r>
            <w:r w:rsidRPr="00B70193">
              <w:t>Determine procedures to minimise task time</w:t>
            </w:r>
          </w:p>
        </w:tc>
      </w:tr>
      <w:tr w:rsidTr="00AD654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List"/>
              <w:rPr>
                <w:lang w:val="en-NZ"/>
              </w:rPr>
            </w:pPr>
            <w:r w:rsidRPr="00B70193">
              <w:t>2.</w:t>
            </w:r>
            <w:r w:rsidRPr="00B70193">
              <w:tab/>
              <w:t>Carry out service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List2"/>
            </w:pPr>
            <w:r w:rsidRPr="00B70193">
              <w:t>2.1.</w:t>
            </w:r>
            <w:r w:rsidRPr="00B70193">
              <w:tab/>
              <w:t>Observe occupational health and safety (OHS) requirements, including individual state/territory regulatory requirements and warnings, in relation to working with diesel fuel injection sy</w:t>
            </w:r>
            <w:r w:rsidRPr="00B70193">
              <w:t xml:space="preserve">stems throughout the work </w:t>
            </w:r>
          </w:p>
          <w:p w:rsidR="00000000" w:rsidRPr="00B70193" w:rsidP="00B70193">
            <w:pPr>
              <w:pStyle w:val="List2"/>
            </w:pPr>
            <w:r w:rsidRPr="00B70193">
              <w:t>2.2.</w:t>
            </w:r>
            <w:r w:rsidRPr="00B70193">
              <w:tab/>
              <w:t>Observe National Environmental Protection Measures for Diesel Vehicles (Guidelines) throughout the work, as applicable to tasks</w:t>
            </w:r>
          </w:p>
          <w:p w:rsidR="00000000" w:rsidRPr="00B70193" w:rsidP="00B70193">
            <w:pPr>
              <w:pStyle w:val="List2"/>
            </w:pPr>
            <w:r w:rsidRPr="00B70193">
              <w:t>2.3.</w:t>
            </w:r>
            <w:r w:rsidRPr="00B70193">
              <w:tab/>
              <w:t>Perform service in accordance with workplace procedures and manufacturer/component supplier</w:t>
            </w:r>
            <w:r w:rsidRPr="00B70193">
              <w:t xml:space="preserve"> specifications</w:t>
            </w:r>
          </w:p>
          <w:p w:rsidR="00000000" w:rsidRPr="00B70193" w:rsidP="00B70193">
            <w:pPr>
              <w:pStyle w:val="List2"/>
            </w:pPr>
            <w:r w:rsidRPr="00B70193">
              <w:t>2.4.</w:t>
            </w:r>
            <w:r w:rsidRPr="00B70193">
              <w:tab/>
              <w:t>Select and use appropriate tooling, techniques and materials</w:t>
            </w:r>
          </w:p>
          <w:p w:rsidR="00000000" w:rsidP="00B70193">
            <w:pPr>
              <w:pStyle w:val="List2"/>
              <w:rPr>
                <w:lang w:val="en-NZ"/>
              </w:rPr>
            </w:pPr>
            <w:r w:rsidRPr="00B70193">
              <w:t>2.5.</w:t>
            </w:r>
            <w:r w:rsidRPr="00B70193">
              <w:tab/>
              <w:t>Make adjustments in accordance with manufacturer/component supplier specifications</w:t>
            </w:r>
          </w:p>
        </w:tc>
      </w:tr>
      <w:tr w:rsidTr="00AD654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List"/>
              <w:rPr>
                <w:lang w:val="en-NZ"/>
              </w:rPr>
            </w:pPr>
            <w:r w:rsidRPr="00B70193">
              <w:t>3.</w:t>
            </w:r>
            <w:r w:rsidRPr="00B70193">
              <w:tab/>
              <w:t>Prepare equipment/ engine for use or storage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List2"/>
            </w:pPr>
            <w:r w:rsidRPr="00B70193">
              <w:t>3.1.</w:t>
            </w:r>
            <w:r w:rsidRPr="00B70193">
              <w:tab/>
            </w:r>
            <w:r w:rsidRPr="00B70193">
              <w:t xml:space="preserve">Complete servicing schedule documentation </w:t>
            </w:r>
          </w:p>
          <w:p w:rsidR="00000000" w:rsidRPr="00B70193" w:rsidP="00B70193">
            <w:pPr>
              <w:pStyle w:val="List2"/>
            </w:pPr>
            <w:r w:rsidRPr="00B70193">
              <w:t>3.2.</w:t>
            </w:r>
            <w:r w:rsidRPr="00B70193">
              <w:tab/>
              <w:t>Make final inspection to ensure work is to workplace expectations</w:t>
            </w:r>
          </w:p>
          <w:p w:rsidR="00000000" w:rsidRPr="00B70193" w:rsidP="00B70193">
            <w:pPr>
              <w:pStyle w:val="List2"/>
            </w:pPr>
            <w:r w:rsidRPr="00B70193">
              <w:t>3.3.</w:t>
            </w:r>
            <w:r w:rsidRPr="00B70193">
              <w:tab/>
              <w:t>Remove waste and scrap following workplace procedures</w:t>
            </w:r>
          </w:p>
          <w:p w:rsidR="00000000" w:rsidRPr="00B70193" w:rsidP="00B70193">
            <w:pPr>
              <w:pStyle w:val="List2"/>
            </w:pPr>
            <w:r w:rsidRPr="00B70193">
              <w:t>3.4.</w:t>
            </w:r>
            <w:r w:rsidRPr="00B70193">
              <w:tab/>
              <w:t>Clean equipment and work area in accordance with workplace procedures</w:t>
            </w:r>
          </w:p>
          <w:p w:rsidR="00000000" w:rsidRPr="00B70193" w:rsidP="00B70193">
            <w:pPr>
              <w:pStyle w:val="List2"/>
            </w:pPr>
            <w:r w:rsidRPr="00B70193">
              <w:t>3.5.</w:t>
            </w:r>
            <w:r w:rsidRPr="00B70193">
              <w:tab/>
              <w:t>Mai</w:t>
            </w:r>
            <w:r w:rsidRPr="00B70193">
              <w:t xml:space="preserve">ntain and store tooling and equipment in accordance with workplace procedures </w:t>
            </w:r>
          </w:p>
          <w:p w:rsidR="00000000" w:rsidRPr="00B70193" w:rsidP="00B70193">
            <w:pPr>
              <w:pStyle w:val="List2"/>
            </w:pPr>
            <w:r w:rsidRPr="00B70193">
              <w:t>3.6.</w:t>
            </w:r>
            <w:r w:rsidRPr="00B70193">
              <w:tab/>
              <w:t>Process job card in accordance with workplace procedures</w:t>
            </w:r>
          </w:p>
        </w:tc>
      </w:tr>
    </w:tbl>
    <w:p w:rsidR="00AD6542" w:rsidP="00B70193">
      <w:pPr>
        <w:pStyle w:val="BodyText"/>
      </w:pPr>
    </w:p>
    <w:p w:rsidR="00AD6542" w:rsidP="00B70193">
      <w:pPr>
        <w:pStyle w:val="BodyText"/>
      </w:pPr>
    </w:p>
    <w:p w:rsidR="00000000" w:rsidRPr="00B70193" w:rsidP="00B70193">
      <w:pPr>
        <w:pStyle w:val="Heading1"/>
      </w:pPr>
      <w:bookmarkStart w:id="9" w:name="O_257190"/>
      <w:bookmarkEnd w:id="9"/>
      <w:r w:rsidRPr="00B70193">
        <w:t>Required Skills and Knowledge</w:t>
      </w:r>
    </w:p>
    <w:tbl>
      <w:tblPr>
        <w:tblW w:w="0" w:type="auto"/>
        <w:tblLayout w:type="fixed"/>
        <w:tblCellMar>
          <w:left w:w="62" w:type="dxa"/>
          <w:right w:w="62" w:type="dxa"/>
        </w:tblCellMar>
        <w:tblLook w:val="0000"/>
      </w:tblPr>
      <w:tblGrid>
        <w:gridCol w:w="8522"/>
      </w:tblGrid>
      <w:tr w:rsidTr="00AD65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REQUIRED SKILLS AND KNOWLEDGE</w:t>
            </w:r>
          </w:p>
        </w:tc>
      </w:tr>
      <w:tr w:rsidTr="00AD65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t>This section describes the skills and knowledge required for this unit.</w:t>
            </w:r>
          </w:p>
        </w:tc>
      </w:tr>
      <w:tr w:rsidTr="00AD65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Required skills</w:t>
            </w:r>
          </w:p>
        </w:tc>
      </w:tr>
      <w:tr w:rsidTr="00AD65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Required skills include:</w:t>
            </w:r>
          </w:p>
          <w:p w:rsidR="00000000" w:rsidRPr="00B70193" w:rsidP="00B70193">
            <w:pPr>
              <w:pStyle w:val="ListBullet"/>
            </w:pPr>
            <w:r w:rsidRPr="00B70193">
              <w:t xml:space="preserve">technical skills to the level required to use workplace technology and tools related </w:t>
            </w:r>
            <w:r w:rsidRPr="00B70193">
              <w:t>servicing diesel fuel injection systems, including the use of specialist tooling and equipment, measuring equipment, computerised technology and communication devices</w:t>
            </w:r>
          </w:p>
          <w:p w:rsidR="00000000" w:rsidRPr="00B70193" w:rsidP="00B70193">
            <w:pPr>
              <w:pStyle w:val="ListBullet"/>
            </w:pPr>
            <w:r w:rsidRPr="00B70193">
              <w:t>communication skills to the level required to confirm work requirements and specification</w:t>
            </w:r>
            <w:r w:rsidRPr="00B70193">
              <w:t>s, to communicate effectively regarding work requirements with supervisor, other workers and customers, to apply common industry terminology, to report work outcomes and problems, and to relate to people from a range of social, cultural and ethnic backgrou</w:t>
            </w:r>
            <w:r w:rsidRPr="00B70193">
              <w:t>nds and of varying physical and mental abilities</w:t>
            </w:r>
          </w:p>
          <w:p w:rsidR="00000000" w:rsidRPr="00B70193" w:rsidP="00B70193">
            <w:pPr>
              <w:pStyle w:val="ListBullet"/>
            </w:pPr>
            <w:r w:rsidRPr="00B70193">
              <w:t>literacy skills to the level required to understand information related to work orders and to locate, interpret and apply manufacturer/component supplier technical information and specifications, workplace p</w:t>
            </w:r>
            <w:r w:rsidRPr="00B70193">
              <w:t>olicies and safety procedures</w:t>
            </w:r>
          </w:p>
          <w:p w:rsidR="00000000" w:rsidRPr="00B70193" w:rsidP="00B70193">
            <w:pPr>
              <w:pStyle w:val="ListBullet"/>
            </w:pPr>
            <w:r w:rsidRPr="00B70193">
              <w:t>numeracy skills to the level required to correctly calculate time, complete tests and measurements to determine repair/replacement requirements, calculate material requirements and establish quality checks</w:t>
            </w:r>
          </w:p>
          <w:p w:rsidR="00000000" w:rsidRPr="00B70193" w:rsidP="00B70193">
            <w:pPr>
              <w:pStyle w:val="ListBullet"/>
            </w:pPr>
            <w:r w:rsidRPr="00B70193">
              <w:t>problem-solving skil</w:t>
            </w:r>
            <w:r w:rsidRPr="00B70193">
              <w:t>ls to the level required to plan and organise activities and establish safe and effective work processes which anticipate and/or resolve problems and downtime, and to systematically develop solutions to avoid or minimise reworking and avoid wastage</w:t>
            </w:r>
          </w:p>
          <w:p w:rsidR="00000000" w:rsidRPr="00B70193" w:rsidP="00B70193">
            <w:pPr>
              <w:pStyle w:val="ListBullet"/>
            </w:pPr>
            <w:r w:rsidRPr="00B70193">
              <w:t>team sk</w:t>
            </w:r>
            <w:r w:rsidRPr="00B70193">
              <w:t>ills to the level required to work effectively and cooperatively with others to optimise workflow and productivity</w:t>
            </w:r>
          </w:p>
          <w:p w:rsidR="00000000" w:rsidP="00B70193">
            <w:pPr>
              <w:pStyle w:val="ListBullet"/>
              <w:rPr>
                <w:lang w:val="en-NZ"/>
              </w:rPr>
            </w:pPr>
            <w:r w:rsidRPr="00B70193">
              <w:t>organisational skills to the level required to plan and organise activities, including preparation and layout of worksite, and obtaining equipment and materials to avoid backtracking or workflow interruptions</w:t>
            </w:r>
          </w:p>
        </w:tc>
      </w:tr>
      <w:tr w:rsidTr="00AD65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Required knowledge</w:t>
            </w:r>
          </w:p>
        </w:tc>
      </w:tr>
      <w:tr w:rsidTr="00AD65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Required knowledge include</w:t>
            </w:r>
            <w:r w:rsidRPr="00B70193">
              <w:t>s:</w:t>
            </w:r>
          </w:p>
          <w:p w:rsidR="00000000" w:rsidRPr="00B70193" w:rsidP="00B70193">
            <w:pPr>
              <w:pStyle w:val="ListBullet"/>
            </w:pPr>
            <w:r w:rsidRPr="00B70193">
              <w:t>OHS and environmental regulations/requirements, equipment, material and personal safety requirements</w:t>
            </w:r>
          </w:p>
          <w:p w:rsidR="00000000" w:rsidRPr="00B70193" w:rsidP="00B70193">
            <w:pPr>
              <w:pStyle w:val="ListBullet"/>
            </w:pPr>
            <w:r w:rsidRPr="00B70193">
              <w:t>National Environmental Protection Measures for Diesel Vehicles (Guidelines)</w:t>
            </w:r>
          </w:p>
          <w:p w:rsidR="00000000" w:rsidRPr="00B70193" w:rsidP="00B70193">
            <w:pPr>
              <w:pStyle w:val="ListBullet"/>
            </w:pPr>
            <w:r w:rsidRPr="00B70193">
              <w:t>dangers of working with diesel fuel injection systems</w:t>
            </w:r>
          </w:p>
          <w:p w:rsidR="00000000" w:rsidRPr="00B70193" w:rsidP="00B70193">
            <w:pPr>
              <w:pStyle w:val="ListBullet"/>
            </w:pPr>
            <w:r w:rsidRPr="00B70193">
              <w:t>identification of app</w:t>
            </w:r>
            <w:r w:rsidRPr="00B70193">
              <w:t>lication, purpose and operating principles</w:t>
            </w:r>
          </w:p>
          <w:p w:rsidR="00000000" w:rsidRPr="00B70193" w:rsidP="00B70193">
            <w:pPr>
              <w:pStyle w:val="ListBullet"/>
            </w:pPr>
            <w:r w:rsidRPr="00B70193">
              <w:t>types and layout of service/repair manuals (hard copy and electronic)</w:t>
            </w:r>
          </w:p>
          <w:p w:rsidR="00000000" w:rsidRPr="00B70193" w:rsidP="00B70193">
            <w:pPr>
              <w:pStyle w:val="ListBullet"/>
            </w:pPr>
            <w:r w:rsidRPr="00B70193">
              <w:t xml:space="preserve">engine starting procedures </w:t>
            </w:r>
          </w:p>
          <w:p w:rsidR="00000000" w:rsidRPr="00B70193" w:rsidP="00B70193">
            <w:pPr>
              <w:pStyle w:val="ListBullet"/>
            </w:pPr>
            <w:r w:rsidRPr="00B70193">
              <w:t xml:space="preserve">bleeding procedures </w:t>
            </w:r>
          </w:p>
          <w:p w:rsidR="00000000" w:rsidRPr="00B70193" w:rsidP="00B70193">
            <w:pPr>
              <w:pStyle w:val="ListBullet"/>
            </w:pPr>
            <w:r w:rsidRPr="00B70193">
              <w:t>selection, checking and use of tooling and equipment</w:t>
            </w:r>
          </w:p>
          <w:p w:rsidR="00000000" w:rsidRPr="00B70193" w:rsidP="00B70193">
            <w:pPr>
              <w:pStyle w:val="ListBullet"/>
            </w:pPr>
            <w:r w:rsidRPr="00B70193">
              <w:t>manufacturer and/or component supplier sp</w:t>
            </w:r>
            <w:r w:rsidRPr="00B70193">
              <w:t>ecifications</w:t>
            </w:r>
          </w:p>
          <w:p w:rsidR="00000000" w:rsidRPr="00B70193" w:rsidP="00B70193">
            <w:pPr>
              <w:pStyle w:val="ListBullet"/>
            </w:pPr>
            <w:r w:rsidRPr="00B70193">
              <w:t>applicable commonwealth, state or territory legislation, regulations, standards and codes of practice, including OHS and environment, relevant to servicing diesel fuel injection systems</w:t>
            </w:r>
          </w:p>
          <w:p w:rsidR="00000000" w:rsidRPr="00B70193" w:rsidP="00B70193">
            <w:pPr>
              <w:pStyle w:val="ListBullet"/>
            </w:pPr>
            <w:r w:rsidRPr="00B70193">
              <w:t>organisational policies and procedures, including quality requirements, reporting and recording procedures, and work organisation and planning processes, related to servicing diesel fuel injection systems</w:t>
            </w:r>
          </w:p>
        </w:tc>
      </w:tr>
    </w:tbl>
    <w:p w:rsidR="00AD6542" w:rsidP="00B70193">
      <w:pPr>
        <w:pStyle w:val="BodyText"/>
      </w:pPr>
    </w:p>
    <w:p w:rsidR="00AD6542" w:rsidP="00B70193">
      <w:pPr>
        <w:pStyle w:val="BodyText"/>
      </w:pPr>
    </w:p>
    <w:p w:rsidR="00000000" w:rsidRPr="00B70193" w:rsidP="00B70193">
      <w:pPr>
        <w:pStyle w:val="AllowPageBreak"/>
      </w:pPr>
    </w:p>
    <w:p w:rsidR="00000000" w:rsidRPr="00B70193" w:rsidP="00B70193">
      <w:pPr>
        <w:pStyle w:val="Heading1"/>
      </w:pPr>
      <w:bookmarkStart w:id="10" w:name="O_241224"/>
      <w:bookmarkEnd w:id="10"/>
      <w:r w:rsidRPr="00B70193">
        <w:t>Evidence Guide</w:t>
      </w:r>
    </w:p>
    <w:tbl>
      <w:tblPr>
        <w:tblW w:w="9570" w:type="dxa"/>
        <w:tblLayout w:type="fixed"/>
        <w:tblCellMar>
          <w:left w:w="62" w:type="dxa"/>
          <w:right w:w="62" w:type="dxa"/>
        </w:tblCellMar>
        <w:tblLook w:val="0000"/>
      </w:tblPr>
      <w:tblGrid>
        <w:gridCol w:w="3474"/>
        <w:gridCol w:w="6096"/>
      </w:tblGrid>
      <w:tr w:rsidTr="00AD65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EVIDENCE GUIDE</w:t>
            </w:r>
          </w:p>
        </w:tc>
      </w:tr>
      <w:tr w:rsidTr="00AD65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t>The evidence guide provides advice on assessment and must be read in conjunction with the performance criteria, required skills and knowledge, range statement and the Assessment Guidelines for the Training Package.</w:t>
            </w:r>
          </w:p>
        </w:tc>
      </w:tr>
      <w:tr w:rsidTr="00AD654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Overview of assessmen</w:t>
            </w:r>
            <w:r w:rsidRPr="00B70193">
              <w:rPr>
                <w:rStyle w:val="SpecialBold"/>
              </w:rPr>
              <w:t>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p>
        </w:tc>
      </w:tr>
      <w:tr w:rsidTr="00AD654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Assessors must be satisfied that the candidate can competently and consistently:</w:t>
            </w:r>
          </w:p>
          <w:p w:rsidR="00000000" w:rsidRPr="00B70193" w:rsidP="00B70193">
            <w:pPr>
              <w:pStyle w:val="ListBullet"/>
            </w:pPr>
            <w:r w:rsidRPr="00B70193">
              <w:t>observe safety procedures and requirements</w:t>
            </w:r>
          </w:p>
          <w:p w:rsidR="00000000" w:rsidRPr="00B70193" w:rsidP="00B70193">
            <w:pPr>
              <w:pStyle w:val="ListBullet"/>
            </w:pPr>
            <w:r w:rsidRPr="00B70193">
              <w:t>communicate effectively with others involved in or affected by the work</w:t>
            </w:r>
          </w:p>
          <w:p w:rsidR="00000000" w:rsidRPr="00B70193" w:rsidP="00B70193">
            <w:pPr>
              <w:pStyle w:val="ListBullet"/>
            </w:pPr>
            <w:r w:rsidRPr="00B70193">
              <w:t>select methods and techniques appropriate to the circumstances</w:t>
            </w:r>
          </w:p>
          <w:p w:rsidR="00000000" w:rsidRPr="00B70193" w:rsidP="00B70193">
            <w:pPr>
              <w:pStyle w:val="ListBullet"/>
            </w:pPr>
            <w:r w:rsidRPr="00B70193">
              <w:t>complete preparatory activity in a systematic manner</w:t>
            </w:r>
          </w:p>
          <w:p w:rsidR="00000000" w:rsidRPr="00B70193" w:rsidP="00B70193">
            <w:pPr>
              <w:pStyle w:val="ListBullet"/>
            </w:pPr>
            <w:r w:rsidRPr="00B70193">
              <w:t>identify application, purpose and operating principles</w:t>
            </w:r>
          </w:p>
          <w:p w:rsidR="00000000" w:rsidRPr="00B70193" w:rsidP="00B70193">
            <w:pPr>
              <w:pStyle w:val="ListBullet"/>
            </w:pPr>
            <w:r w:rsidRPr="00B70193">
              <w:t>conduct inspe</w:t>
            </w:r>
            <w:r w:rsidRPr="00B70193">
              <w:t>ction, servicing and operational testing in accordance with workplace and manufacturer/component supplier specifications</w:t>
            </w:r>
          </w:p>
          <w:p w:rsidR="00000000" w:rsidP="00B70193">
            <w:pPr>
              <w:pStyle w:val="ListBullet"/>
              <w:rPr>
                <w:lang w:val="en-NZ"/>
              </w:rPr>
            </w:pPr>
            <w:r w:rsidRPr="00B70193">
              <w:t>complete service of diesel fuel system and associated components within workplace timeframes.</w:t>
            </w:r>
          </w:p>
        </w:tc>
      </w:tr>
      <w:tr w:rsidTr="00AD654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Context of</w:t>
            </w:r>
            <w:r w:rsidRPr="00B70193">
              <w:t xml:space="preserve">, </w:t>
            </w:r>
            <w:r w:rsidRPr="00B70193">
              <w:rPr>
                <w:rStyle w:val="SpecialBold"/>
              </w:rPr>
              <w:t>and specific resources for a</w:t>
            </w:r>
            <w:r w:rsidRPr="00B70193">
              <w:rPr>
                <w:rStyle w:val="SpecialBold"/>
              </w:rPr>
              <w:t>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ListBullet"/>
            </w:pPr>
            <w:r w:rsidRPr="00B70193">
              <w:t>The application of competency is to be assessed in the workplace or a simulated environment that reflects as far as possible the actual working environment.</w:t>
            </w:r>
          </w:p>
          <w:p w:rsidR="00000000" w:rsidRPr="00B70193" w:rsidP="00B70193">
            <w:pPr>
              <w:pStyle w:val="ListBullet"/>
            </w:pPr>
            <w:r w:rsidRPr="00B70193">
              <w:t>Assessment is to occur using standard and authorised work practices, safety requirements</w:t>
            </w:r>
            <w:r w:rsidRPr="00B70193">
              <w:t xml:space="preserve"> and environmental constraints.</w:t>
            </w:r>
          </w:p>
          <w:p w:rsidR="00000000" w:rsidRPr="00B70193" w:rsidP="00B70193">
            <w:pPr>
              <w:pStyle w:val="ListBullet"/>
            </w:pPr>
            <w:r w:rsidRPr="00B70193">
              <w:t>Assessment is to comply with relevant regulatory requirements, including specified Australian standards.</w:t>
            </w:r>
          </w:p>
          <w:p w:rsidR="00000000" w:rsidRPr="00B70193" w:rsidP="00B70193">
            <w:pPr>
              <w:pStyle w:val="ListBullet"/>
            </w:pPr>
            <w:r w:rsidRPr="00B70193">
              <w:t>Where applicable, reasonable adjustment must be made t</w:t>
            </w:r>
            <w:r w:rsidRPr="00B70193">
              <w:t>o work environments and training situations to accommodate ethnicity, age, gender, demographics and disability.</w:t>
            </w:r>
          </w:p>
          <w:p w:rsidR="00000000" w:rsidRPr="00B70193" w:rsidP="00B70193">
            <w:pPr>
              <w:pStyle w:val="ListBullet"/>
            </w:pPr>
            <w:r w:rsidRPr="00B70193">
              <w:t xml:space="preserve">The following resources should be made available: </w:t>
            </w:r>
          </w:p>
          <w:p w:rsidR="00000000" w:rsidRPr="00B70193" w:rsidP="00B70193">
            <w:pPr>
              <w:pStyle w:val="ListBullet2"/>
            </w:pPr>
            <w:r w:rsidRPr="00B70193">
              <w:t>a range of diesel fuel injection and components relevant to the application</w:t>
            </w:r>
          </w:p>
          <w:p w:rsidR="00000000" w:rsidRPr="00B70193" w:rsidP="00B70193">
            <w:pPr>
              <w:pStyle w:val="ListBullet2"/>
            </w:pPr>
            <w:r w:rsidRPr="00B70193">
              <w:t>materials releva</w:t>
            </w:r>
            <w:r w:rsidRPr="00B70193">
              <w:t>nt to servicing diesel fuel injection systems</w:t>
            </w:r>
          </w:p>
          <w:p w:rsidR="00000000" w:rsidRPr="00B70193" w:rsidP="00B70193">
            <w:pPr>
              <w:pStyle w:val="ListBullet2"/>
            </w:pPr>
            <w:r w:rsidRPr="00B70193">
              <w:t>equipment, hand and power tooling appropriate to servicing diesel fuel injection systems</w:t>
            </w:r>
          </w:p>
          <w:p w:rsidR="00000000" w:rsidP="00B70193">
            <w:pPr>
              <w:pStyle w:val="ListBullet2"/>
              <w:rPr>
                <w:lang w:val="en-NZ"/>
              </w:rPr>
            </w:pPr>
            <w:r w:rsidRPr="00B70193">
              <w:t>specifications and work instructions.</w:t>
            </w:r>
          </w:p>
        </w:tc>
      </w:tr>
      <w:tr w:rsidTr="00AD654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ListBullet"/>
            </w:pPr>
            <w:r w:rsidRPr="00B70193">
              <w:t>Assessment must satisfy the endorsed</w:t>
            </w:r>
            <w:r w:rsidRPr="00B70193">
              <w:t xml:space="preserve"> Assessment Guidelines of this Training Package.</w:t>
            </w:r>
          </w:p>
          <w:p w:rsidR="00000000" w:rsidRPr="00B70193" w:rsidP="00B70193">
            <w:pPr>
              <w:pStyle w:val="ListBullet"/>
            </w:pPr>
            <w:r w:rsidRPr="00B70193">
              <w:t>Assessment methods must confirm consistency and accuracy of performance (over time and in a range of workplace relevant contexts) together with application of Required Skills and Knowledge.</w:t>
            </w:r>
          </w:p>
          <w:p w:rsidR="00000000" w:rsidRPr="00B70193" w:rsidP="00B70193">
            <w:pPr>
              <w:pStyle w:val="ListBullet"/>
            </w:pPr>
            <w:r w:rsidRPr="00B70193">
              <w:t>Assessment method</w:t>
            </w:r>
            <w:r w:rsidRPr="00B70193">
              <w:t>s must be by direct observation of tasks and include questioning on Required Skills and Knowledge to ensure its correct interpretation and application.</w:t>
            </w:r>
          </w:p>
          <w:p w:rsidR="00000000" w:rsidRPr="00B70193" w:rsidP="00B70193">
            <w:pPr>
              <w:pStyle w:val="ListBullet"/>
            </w:pPr>
            <w:r w:rsidRPr="00B70193">
              <w:t>Assessment may be applied under project-related conditions (real or simulated) and require evidence of p</w:t>
            </w:r>
            <w:r w:rsidRPr="00B70193">
              <w:t>rocess.</w:t>
            </w:r>
          </w:p>
          <w:p w:rsidR="00000000" w:rsidRPr="00B70193" w:rsidP="00B70193">
            <w:pPr>
              <w:pStyle w:val="ListBullet"/>
            </w:pPr>
            <w:r w:rsidRPr="00B70193">
              <w:t>Assessment must confirm a reasonable inference that competency is able not only to be satisfied under the particular circumstance, but is able to be transferred to other circumstances.</w:t>
            </w:r>
          </w:p>
          <w:p w:rsidR="00000000" w:rsidP="00B70193">
            <w:pPr>
              <w:pStyle w:val="ListBullet"/>
              <w:rPr>
                <w:lang w:val="en-NZ"/>
              </w:rPr>
            </w:pPr>
            <w:r w:rsidRPr="00B70193">
              <w:t>Competence in this unit may be assessed in conjunction with oth</w:t>
            </w:r>
            <w:r w:rsidRPr="00B70193">
              <w:t>er functional units which together form part of the holistic work role.</w:t>
            </w:r>
          </w:p>
        </w:tc>
      </w:tr>
      <w:tr w:rsidTr="00AD654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Assessment processes and techniques must be culturally sensitive and appropriate to the language and literacy capacity of the candidate and the wor</w:t>
            </w:r>
            <w:r w:rsidRPr="00B70193">
              <w:t>k being performed.</w:t>
            </w:r>
          </w:p>
        </w:tc>
      </w:tr>
    </w:tbl>
    <w:p w:rsidR="00AD6542" w:rsidP="00B70193">
      <w:pPr>
        <w:pStyle w:val="BodyText"/>
      </w:pPr>
    </w:p>
    <w:p w:rsidR="00AD6542" w:rsidP="00B70193">
      <w:pPr>
        <w:pStyle w:val="BodyText"/>
      </w:pPr>
    </w:p>
    <w:p w:rsidR="00000000" w:rsidRPr="00B70193" w:rsidP="00B70193">
      <w:pPr>
        <w:pStyle w:val="Heading1"/>
      </w:pPr>
      <w:bookmarkStart w:id="11" w:name="O_249207"/>
      <w:bookmarkEnd w:id="11"/>
      <w:r w:rsidRPr="00B70193">
        <w:t>Range Statement</w:t>
      </w:r>
    </w:p>
    <w:tbl>
      <w:tblPr>
        <w:tblW w:w="0" w:type="auto"/>
        <w:tblLayout w:type="fixed"/>
        <w:tblCellMar>
          <w:left w:w="62" w:type="dxa"/>
          <w:right w:w="62" w:type="dxa"/>
        </w:tblCellMar>
        <w:tblLook w:val="0000"/>
      </w:tblPr>
      <w:tblGrid>
        <w:gridCol w:w="3549"/>
        <w:gridCol w:w="4973"/>
      </w:tblGrid>
      <w:tr w:rsidTr="00AD65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RANGE STATEMENT</w:t>
            </w:r>
          </w:p>
        </w:tc>
      </w:tr>
      <w:tr w:rsidTr="00AD65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t xml:space="preserve">The range statement relates to the unit of competency as a whole. It allows for different work environments and situations that may affect </w:t>
            </w:r>
            <w:r w:rsidRPr="00B70193">
              <w:t>performance. Essential operating conditions that may be present with training and assessment (depending on the work situation, needs of the candidate, accessibility of the item, and local industry and regional contexts) may also be included.</w:t>
            </w:r>
          </w:p>
        </w:tc>
      </w:tr>
      <w:tr w:rsidTr="00AD65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Se</w:t>
            </w:r>
            <w:r w:rsidRPr="00B70193">
              <w:t>rvicing is to include:</w:t>
            </w:r>
          </w:p>
          <w:p w:rsidR="00000000" w:rsidRPr="00B70193" w:rsidP="00B70193">
            <w:pPr>
              <w:pStyle w:val="ListBullet"/>
            </w:pPr>
            <w:r w:rsidRPr="00B70193">
              <w:t>fluids</w:t>
            </w:r>
          </w:p>
          <w:p w:rsidR="00000000" w:rsidRPr="00B70193" w:rsidP="00B70193">
            <w:pPr>
              <w:pStyle w:val="ListBullet"/>
            </w:pPr>
            <w:r w:rsidRPr="00B70193">
              <w:t>filters</w:t>
            </w:r>
          </w:p>
          <w:p w:rsidR="00000000" w:rsidRPr="00B70193" w:rsidP="00B70193">
            <w:pPr>
              <w:pStyle w:val="ListBullet"/>
            </w:pPr>
            <w:r w:rsidRPr="00B70193">
              <w:t>adjustments and operational testing</w:t>
            </w:r>
          </w:p>
          <w:p w:rsidR="00000000" w:rsidRPr="00B70193" w:rsidP="00B70193">
            <w:pPr>
              <w:pStyle w:val="ListBullet"/>
            </w:pPr>
            <w:r w:rsidRPr="00B70193">
              <w:t>visual inspections and documents</w:t>
            </w:r>
          </w:p>
          <w:p w:rsidR="00000000" w:rsidRPr="00B70193" w:rsidP="00B70193">
            <w:pPr>
              <w:pStyle w:val="ListBullet"/>
            </w:pPr>
            <w:r w:rsidRPr="00B70193">
              <w:t>injector (pop) testing</w:t>
            </w:r>
          </w:p>
          <w:p w:rsidR="00000000" w:rsidP="00B70193">
            <w:pPr>
              <w:pStyle w:val="ListBullet"/>
              <w:rPr>
                <w:lang w:val="en-NZ"/>
              </w:rPr>
            </w:pPr>
            <w:r w:rsidRPr="00B70193">
              <w:t>spill timing</w:t>
            </w:r>
          </w:p>
        </w:tc>
      </w:tr>
      <w:tr w:rsidTr="00AD65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Tooling and equipment may include:</w:t>
            </w:r>
          </w:p>
          <w:p w:rsidR="00000000" w:rsidRPr="00B70193" w:rsidP="00B70193">
            <w:pPr>
              <w:pStyle w:val="ListBullet"/>
            </w:pPr>
            <w:r w:rsidRPr="00B70193">
              <w:t>hand tooling</w:t>
            </w:r>
          </w:p>
          <w:p w:rsidR="00000000" w:rsidRPr="00B70193" w:rsidP="00B70193">
            <w:pPr>
              <w:pStyle w:val="ListBullet"/>
            </w:pPr>
            <w:r w:rsidRPr="00B70193">
              <w:t>gauges</w:t>
            </w:r>
          </w:p>
          <w:p w:rsidR="00000000" w:rsidP="00B70193">
            <w:pPr>
              <w:pStyle w:val="ListBullet"/>
              <w:rPr>
                <w:lang w:val="en-NZ"/>
              </w:rPr>
            </w:pPr>
            <w:r w:rsidRPr="00B70193">
              <w:t>calibration and pressure testing equipment</w:t>
            </w:r>
          </w:p>
        </w:tc>
      </w:tr>
      <w:tr w:rsidTr="00AD65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Materials may include:</w:t>
            </w:r>
          </w:p>
          <w:p w:rsidR="00000000" w:rsidRPr="00B70193" w:rsidP="00B70193">
            <w:pPr>
              <w:pStyle w:val="ListBullet"/>
            </w:pPr>
            <w:r w:rsidRPr="00B70193">
              <w:t>lubricants</w:t>
            </w:r>
          </w:p>
          <w:p w:rsidR="00000000" w:rsidRPr="00B70193" w:rsidP="00B70193">
            <w:pPr>
              <w:pStyle w:val="ListBullet"/>
            </w:pPr>
            <w:r w:rsidRPr="00B70193">
              <w:t>spare parts</w:t>
            </w:r>
          </w:p>
          <w:p w:rsidR="00000000" w:rsidP="00B70193">
            <w:pPr>
              <w:pStyle w:val="ListBullet"/>
              <w:rPr>
                <w:lang w:val="en-NZ"/>
              </w:rPr>
            </w:pPr>
            <w:r w:rsidRPr="00B70193">
              <w:t>cleaning materials</w:t>
            </w:r>
          </w:p>
        </w:tc>
      </w:tr>
      <w:tr w:rsidTr="00AD65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Information</w:t>
            </w:r>
            <w:r w:rsidRPr="00B70193">
              <w:t>/</w:t>
            </w:r>
            <w:r w:rsidRPr="00B70193">
              <w:rPr>
                <w:rStyle w:val="SpecialBold"/>
              </w:rPr>
              <w:t>documents</w:t>
            </w:r>
            <w:r w:rsidRPr="00B7019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Information/documents may include:</w:t>
            </w:r>
          </w:p>
          <w:p w:rsidR="00000000" w:rsidRPr="00B70193" w:rsidP="00B70193">
            <w:pPr>
              <w:pStyle w:val="ListBullet"/>
            </w:pPr>
            <w:r w:rsidRPr="00B70193">
              <w:t>verbal or written and graphical instructions, signage, work schedules/plans/specifications, work bulletins, memos, material safety data sheets (MSDS), diagrams or sketches</w:t>
            </w:r>
          </w:p>
          <w:p w:rsidR="00000000" w:rsidRPr="00B70193" w:rsidP="00B70193">
            <w:pPr>
              <w:pStyle w:val="ListBullet"/>
            </w:pPr>
            <w:r w:rsidRPr="00B70193">
              <w:t>safe work procedures related to servicing diesel fuel injection systems</w:t>
            </w:r>
          </w:p>
          <w:p w:rsidR="00000000" w:rsidRPr="00B70193" w:rsidP="00B70193">
            <w:pPr>
              <w:pStyle w:val="ListBullet"/>
            </w:pPr>
            <w:r w:rsidRPr="00B70193">
              <w:t>regulatory/l</w:t>
            </w:r>
            <w:r w:rsidRPr="00B70193">
              <w:t>egislative requirements pertaining to servicing diesel fuel injection systems</w:t>
            </w:r>
          </w:p>
          <w:p w:rsidR="00000000" w:rsidRPr="00B70193" w:rsidP="00B70193">
            <w:pPr>
              <w:pStyle w:val="ListBullet"/>
            </w:pPr>
            <w:r w:rsidRPr="00B70193">
              <w:t>engineer's design specifications and instructions</w:t>
            </w:r>
          </w:p>
          <w:p w:rsidR="00000000" w:rsidRPr="00B70193" w:rsidP="00B70193">
            <w:pPr>
              <w:pStyle w:val="ListBullet"/>
            </w:pPr>
            <w:r w:rsidRPr="00B70193">
              <w:t>organisation work specifications and requirements</w:t>
            </w:r>
          </w:p>
          <w:p w:rsidR="00000000" w:rsidRPr="00B70193" w:rsidP="00B70193">
            <w:pPr>
              <w:pStyle w:val="ListBullet"/>
            </w:pPr>
            <w:r w:rsidRPr="00B70193">
              <w:t xml:space="preserve">instructions issued by authorised enterprise or external persons </w:t>
            </w:r>
          </w:p>
          <w:p w:rsidR="00000000" w:rsidP="00B70193">
            <w:pPr>
              <w:pStyle w:val="ListBullet"/>
              <w:rPr>
                <w:lang w:val="en-NZ"/>
              </w:rPr>
            </w:pPr>
            <w:r w:rsidRPr="00B70193">
              <w:t>Australian s</w:t>
            </w:r>
            <w:r w:rsidRPr="00B70193">
              <w:t>tandards</w:t>
            </w:r>
          </w:p>
        </w:tc>
      </w:tr>
      <w:tr w:rsidTr="00AD65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OHS requirements are to be in accordance with applicable commonwealth, state or territory legislation and regulations, and organisational safety policies and procedures, and may include:</w:t>
            </w:r>
          </w:p>
          <w:p w:rsidR="00000000" w:rsidRPr="00B70193" w:rsidP="00B70193">
            <w:pPr>
              <w:pStyle w:val="ListBullet"/>
            </w:pPr>
            <w:r w:rsidRPr="00B70193">
              <w:t>personal protective equipment and clothing</w:t>
            </w:r>
          </w:p>
          <w:p w:rsidR="00000000" w:rsidRPr="00B70193" w:rsidP="00B70193">
            <w:pPr>
              <w:pStyle w:val="ListBullet"/>
            </w:pPr>
            <w:r w:rsidRPr="00B70193">
              <w:t>safety equipment</w:t>
            </w:r>
          </w:p>
          <w:p w:rsidR="00000000" w:rsidRPr="00B70193" w:rsidP="00B70193">
            <w:pPr>
              <w:pStyle w:val="ListBullet"/>
            </w:pPr>
            <w:r w:rsidRPr="00B70193">
              <w:t>first aid equipment</w:t>
            </w:r>
          </w:p>
          <w:p w:rsidR="00000000" w:rsidRPr="00B70193" w:rsidP="00B70193">
            <w:pPr>
              <w:pStyle w:val="ListBullet"/>
            </w:pPr>
            <w:r w:rsidRPr="00B70193">
              <w:t>hazard and risk control</w:t>
            </w:r>
          </w:p>
          <w:p w:rsidR="00000000" w:rsidRPr="00B70193" w:rsidP="00B70193">
            <w:pPr>
              <w:pStyle w:val="ListBullet"/>
            </w:pPr>
            <w:r w:rsidRPr="00B70193">
              <w:t>electrical safety</w:t>
            </w:r>
          </w:p>
          <w:p w:rsidR="00000000" w:rsidRPr="00B70193" w:rsidP="00B70193">
            <w:pPr>
              <w:pStyle w:val="ListBullet"/>
            </w:pPr>
            <w:r w:rsidRPr="00B70193">
              <w:t>elimination of hazardous materials and substances</w:t>
            </w:r>
          </w:p>
          <w:p w:rsidR="00000000" w:rsidRPr="00B70193" w:rsidP="00B70193">
            <w:pPr>
              <w:pStyle w:val="ListBullet"/>
            </w:pPr>
            <w:r w:rsidRPr="00B70193">
              <w:t>manual handling, including shifting, lifting and carrying</w:t>
            </w:r>
          </w:p>
          <w:p w:rsidR="00000000" w:rsidP="00B70193">
            <w:pPr>
              <w:pStyle w:val="ListBullet"/>
              <w:rPr>
                <w:lang w:val="en-NZ"/>
              </w:rPr>
            </w:pPr>
            <w:r w:rsidRPr="00B70193">
              <w:t>emergency procedures</w:t>
            </w:r>
          </w:p>
        </w:tc>
      </w:tr>
      <w:tr w:rsidTr="00AD65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Legi</w:t>
            </w:r>
            <w:r w:rsidRPr="00B70193">
              <w:rPr>
                <w:rStyle w:val="SpecialBold"/>
              </w:rPr>
              <w:t>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Legislative requirements are to be in accordance with applicable commonwealth, state or territory legislation, regulations, certification requirements and codes of practice, and may include:</w:t>
            </w:r>
          </w:p>
          <w:p w:rsidR="00000000" w:rsidRPr="00B70193" w:rsidP="00B70193">
            <w:pPr>
              <w:pStyle w:val="ListBullet"/>
            </w:pPr>
            <w:r w:rsidRPr="00B70193">
              <w:t>award and enterprise agreements</w:t>
            </w:r>
          </w:p>
          <w:p w:rsidR="00000000" w:rsidRPr="00B70193" w:rsidP="00B70193">
            <w:pPr>
              <w:pStyle w:val="ListBullet"/>
            </w:pPr>
            <w:r w:rsidRPr="00B70193">
              <w:t xml:space="preserve">industrial </w:t>
            </w:r>
            <w:r w:rsidRPr="00B70193">
              <w:t>relations</w:t>
            </w:r>
          </w:p>
          <w:p w:rsidR="00000000" w:rsidRPr="00B70193" w:rsidP="00B70193">
            <w:pPr>
              <w:pStyle w:val="ListBullet"/>
            </w:pPr>
            <w:r w:rsidRPr="00B70193">
              <w:t>Australian standards</w:t>
            </w:r>
          </w:p>
          <w:p w:rsidR="00000000" w:rsidRPr="00B70193" w:rsidP="00B70193">
            <w:pPr>
              <w:pStyle w:val="ListBullet"/>
            </w:pPr>
            <w:r w:rsidRPr="00B70193">
              <w:t>Australian Design Rules</w:t>
            </w:r>
          </w:p>
          <w:p w:rsidR="00000000" w:rsidRPr="00B70193" w:rsidP="00B70193">
            <w:pPr>
              <w:pStyle w:val="ListBullet"/>
            </w:pPr>
            <w:r w:rsidRPr="00B70193">
              <w:t>Environment Protection Regulations (Diesel Fuels)</w:t>
            </w:r>
          </w:p>
          <w:p w:rsidR="00000000" w:rsidRPr="00B70193" w:rsidP="00B70193">
            <w:pPr>
              <w:pStyle w:val="ListBullet"/>
            </w:pPr>
            <w:r w:rsidRPr="00B70193">
              <w:t>National Environment Protection Measures for Diesel Vehicles (Guidelines)</w:t>
            </w:r>
          </w:p>
          <w:p w:rsidR="00000000" w:rsidRPr="00B70193" w:rsidP="00B70193">
            <w:pPr>
              <w:pStyle w:val="ListBullet"/>
            </w:pPr>
            <w:r w:rsidRPr="00B70193">
              <w:t>confidentiality and privacy</w:t>
            </w:r>
          </w:p>
          <w:p w:rsidR="00000000" w:rsidRPr="00B70193" w:rsidP="00B70193">
            <w:pPr>
              <w:pStyle w:val="ListBullet"/>
            </w:pPr>
            <w:r w:rsidRPr="00B70193">
              <w:t>OHS</w:t>
            </w:r>
          </w:p>
          <w:p w:rsidR="00000000" w:rsidRPr="00B70193" w:rsidP="00B70193">
            <w:pPr>
              <w:pStyle w:val="ListBullet"/>
            </w:pPr>
            <w:r w:rsidRPr="00B70193">
              <w:t>the environment</w:t>
            </w:r>
          </w:p>
          <w:p w:rsidR="00000000" w:rsidRPr="00B70193" w:rsidP="00B70193">
            <w:pPr>
              <w:pStyle w:val="ListBullet"/>
            </w:pPr>
            <w:r w:rsidRPr="00B70193">
              <w:t>equal opportunity</w:t>
            </w:r>
          </w:p>
          <w:p w:rsidR="00000000" w:rsidRPr="00B70193" w:rsidP="00B70193">
            <w:pPr>
              <w:pStyle w:val="ListBullet"/>
            </w:pPr>
            <w:r w:rsidRPr="00B70193">
              <w:t>anti-discrimination</w:t>
            </w:r>
          </w:p>
          <w:p w:rsidR="00000000" w:rsidRPr="00B70193" w:rsidP="00B70193">
            <w:pPr>
              <w:pStyle w:val="ListBullet"/>
            </w:pPr>
            <w:r w:rsidRPr="00B70193">
              <w:t>relevant industry codes of practice</w:t>
            </w:r>
          </w:p>
          <w:p w:rsidR="00000000" w:rsidP="00B70193">
            <w:pPr>
              <w:pStyle w:val="ListBullet"/>
              <w:rPr>
                <w:lang w:val="en-NZ"/>
              </w:rPr>
            </w:pPr>
            <w:r w:rsidRPr="00B70193">
              <w:t>duty of care</w:t>
            </w:r>
          </w:p>
        </w:tc>
      </w:tr>
      <w:tr w:rsidTr="00AD65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Environmental requirements</w:t>
            </w:r>
            <w:r w:rsidRPr="00B7019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 xml:space="preserve">Environmental requirements may include: </w:t>
            </w:r>
          </w:p>
          <w:p w:rsidR="00000000" w:rsidRPr="00B70193" w:rsidP="00B70193">
            <w:pPr>
              <w:pStyle w:val="ListBullet"/>
            </w:pPr>
            <w:r w:rsidRPr="00B70193">
              <w:t>waste management</w:t>
            </w:r>
          </w:p>
          <w:p w:rsidR="00000000" w:rsidRPr="00B70193" w:rsidP="00B70193">
            <w:pPr>
              <w:pStyle w:val="ListBullet"/>
            </w:pPr>
            <w:r w:rsidRPr="00B70193">
              <w:t>pollution</w:t>
            </w:r>
          </w:p>
          <w:p w:rsidR="00000000" w:rsidRPr="00B70193" w:rsidP="00B70193">
            <w:pPr>
              <w:pStyle w:val="ListBullet"/>
            </w:pPr>
            <w:r w:rsidRPr="00B70193">
              <w:t>noise</w:t>
            </w:r>
          </w:p>
          <w:p w:rsidR="00000000" w:rsidRPr="00B70193" w:rsidP="00B70193">
            <w:pPr>
              <w:pStyle w:val="ListBullet"/>
            </w:pPr>
            <w:r w:rsidRPr="00B70193">
              <w:t>dust</w:t>
            </w:r>
          </w:p>
          <w:p w:rsidR="00000000" w:rsidP="00B70193">
            <w:pPr>
              <w:pStyle w:val="ListBullet"/>
              <w:rPr>
                <w:lang w:val="en-NZ"/>
              </w:rPr>
            </w:pPr>
            <w:r w:rsidRPr="00B70193">
              <w:t>clean-up management</w:t>
            </w:r>
          </w:p>
        </w:tc>
      </w:tr>
      <w:tr w:rsidTr="00AD65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Quality requirements</w:t>
            </w:r>
            <w:r w:rsidRPr="00B7019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Quality requirements may include:</w:t>
            </w:r>
          </w:p>
          <w:p w:rsidR="00000000" w:rsidRPr="00B70193" w:rsidP="00B70193">
            <w:pPr>
              <w:pStyle w:val="ListBullet"/>
            </w:pPr>
            <w:r w:rsidRPr="00B70193">
              <w:t>regulations, including Australian standards</w:t>
            </w:r>
          </w:p>
          <w:p w:rsidR="00000000" w:rsidRPr="00B70193" w:rsidP="00B70193">
            <w:pPr>
              <w:pStyle w:val="ListBullet"/>
            </w:pPr>
            <w:r w:rsidRPr="00B70193">
              <w:t>internal organisational quality policies and procedures</w:t>
            </w:r>
          </w:p>
          <w:p w:rsidR="00000000" w:rsidP="00B70193">
            <w:pPr>
              <w:pStyle w:val="ListBullet"/>
              <w:rPr>
                <w:lang w:val="en-NZ"/>
              </w:rPr>
            </w:pPr>
            <w:r w:rsidRPr="00B70193">
              <w:t>enterprise operations and procedures</w:t>
            </w:r>
          </w:p>
        </w:tc>
      </w:tr>
      <w:tr w:rsidTr="00AD65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Organisational policies and procedures may include:</w:t>
            </w:r>
          </w:p>
          <w:p w:rsidR="00000000" w:rsidRPr="00B70193" w:rsidP="00B70193">
            <w:pPr>
              <w:pStyle w:val="ListBullet"/>
            </w:pPr>
            <w:r w:rsidRPr="00B70193">
              <w:t>quality policies and proce</w:t>
            </w:r>
            <w:r w:rsidRPr="00B70193">
              <w:t>dures, including Australian standards</w:t>
            </w:r>
          </w:p>
          <w:p w:rsidR="00000000" w:rsidRPr="00B70193" w:rsidP="00B70193">
            <w:pPr>
              <w:pStyle w:val="ListBullet"/>
            </w:pPr>
            <w:r w:rsidRPr="00B70193">
              <w:t xml:space="preserve">OHS, sustainability, environment, equal opportunity and anti-discrimination </w:t>
            </w:r>
          </w:p>
          <w:p w:rsidR="00000000" w:rsidRPr="00B70193" w:rsidP="00B70193">
            <w:pPr>
              <w:pStyle w:val="ListBullet"/>
            </w:pPr>
            <w:r w:rsidRPr="00B70193">
              <w:t>manufacturer specifications and industry codes of practice</w:t>
            </w:r>
          </w:p>
          <w:p w:rsidR="00000000" w:rsidRPr="00B70193" w:rsidP="00B70193">
            <w:pPr>
              <w:pStyle w:val="ListBullet"/>
            </w:pPr>
            <w:r w:rsidRPr="00B70193">
              <w:t xml:space="preserve">safe work procedures </w:t>
            </w:r>
          </w:p>
          <w:p w:rsidR="00000000" w:rsidRPr="00B70193" w:rsidP="00B70193">
            <w:pPr>
              <w:pStyle w:val="ListBullet"/>
            </w:pPr>
            <w:r w:rsidRPr="00B70193">
              <w:t>reporting and recording procedures</w:t>
            </w:r>
          </w:p>
        </w:tc>
      </w:tr>
    </w:tbl>
    <w:p w:rsidR="00AD6542" w:rsidP="00B70193">
      <w:pPr>
        <w:pStyle w:val="BodyText"/>
      </w:pPr>
    </w:p>
    <w:p w:rsidR="00AD6542" w:rsidP="00B70193">
      <w:pPr>
        <w:pStyle w:val="BodyText"/>
      </w:pPr>
    </w:p>
    <w:p w:rsidR="00000000" w:rsidRPr="00B70193" w:rsidP="00B70193">
      <w:pPr>
        <w:pStyle w:val="Heading1"/>
      </w:pPr>
      <w:bookmarkStart w:id="12" w:name="O_192838"/>
      <w:bookmarkEnd w:id="12"/>
      <w:r w:rsidRPr="00B70193">
        <w:t>Unit Sector(s)</w:t>
      </w:r>
    </w:p>
    <w:tbl>
      <w:tblPr>
        <w:tblW w:w="0" w:type="auto"/>
        <w:tblLayout w:type="fixed"/>
        <w:tblCellMar>
          <w:left w:w="62" w:type="dxa"/>
          <w:right w:w="62" w:type="dxa"/>
        </w:tblCellMar>
        <w:tblLook w:val="0000"/>
      </w:tblPr>
      <w:tblGrid>
        <w:gridCol w:w="2612"/>
        <w:gridCol w:w="5910"/>
      </w:tblGrid>
      <w:tr w:rsidTr="00AD654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r w:rsidRPr="00B70193">
              <w:t>Technical</w:t>
            </w:r>
          </w:p>
        </w:tc>
      </w:tr>
    </w:tbl>
    <w:p w:rsidR="00AD6542" w:rsidP="00B70193">
      <w:pPr>
        <w:pStyle w:val="BodyText"/>
      </w:pPr>
    </w:p>
    <w:p w:rsidR="00AD6542" w:rsidP="00B70193">
      <w:pPr>
        <w:pStyle w:val="BodyText"/>
      </w:pPr>
    </w:p>
    <w:p w:rsidR="00000000" w:rsidRPr="00B70193" w:rsidP="00B70193">
      <w:pPr>
        <w:pStyle w:val="Heading1"/>
      </w:pPr>
      <w:bookmarkStart w:id="13" w:name="O_192835"/>
      <w:bookmarkEnd w:id="13"/>
      <w:r w:rsidRPr="00B70193">
        <w:t>Co-requisite units</w:t>
      </w:r>
    </w:p>
    <w:tbl>
      <w:tblPr>
        <w:tblW w:w="0" w:type="auto"/>
        <w:tblLayout w:type="fixed"/>
        <w:tblCellMar>
          <w:left w:w="62" w:type="dxa"/>
          <w:right w:w="62" w:type="dxa"/>
        </w:tblCellMar>
        <w:tblLook w:val="0000"/>
      </w:tblPr>
      <w:tblGrid>
        <w:gridCol w:w="2641"/>
        <w:gridCol w:w="1322"/>
        <w:gridCol w:w="4559"/>
      </w:tblGrid>
      <w:tr w:rsidTr="00AD65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p>
        </w:tc>
      </w:tr>
      <w:tr w:rsidTr="00AD65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p>
        </w:tc>
      </w:tr>
      <w:tr w:rsidTr="00AD65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p>
        </w:tc>
      </w:tr>
    </w:tbl>
    <w:p w:rsidR="00AD6542" w:rsidP="00B70193">
      <w:pPr>
        <w:pStyle w:val="BodyText"/>
      </w:pPr>
    </w:p>
    <w:p w:rsidR="00AD6542" w:rsidP="00B70193">
      <w:pPr>
        <w:pStyle w:val="BodyText"/>
      </w:pPr>
    </w:p>
    <w:p w:rsidR="00000000" w:rsidRPr="00B70193" w:rsidP="00B70193">
      <w:pPr>
        <w:pStyle w:val="Heading1"/>
      </w:pPr>
      <w:bookmarkStart w:id="14" w:name="O_192837"/>
      <w:bookmarkEnd w:id="14"/>
      <w:r w:rsidRPr="00B70193">
        <w:t>Competency field</w:t>
      </w:r>
    </w:p>
    <w:tbl>
      <w:tblPr>
        <w:tblW w:w="0" w:type="auto"/>
        <w:tblLayout w:type="fixed"/>
        <w:tblCellMar>
          <w:left w:w="62" w:type="dxa"/>
          <w:right w:w="62" w:type="dxa"/>
        </w:tblCellMar>
        <w:tblLook w:val="0000"/>
      </w:tblPr>
      <w:tblGrid>
        <w:gridCol w:w="2784"/>
        <w:gridCol w:w="5738"/>
      </w:tblGrid>
      <w:tr w:rsidTr="00AD654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93">
            <w:pPr>
              <w:pStyle w:val="BodyText"/>
              <w:rPr>
                <w:lang w:val="en-NZ"/>
              </w:rPr>
            </w:pPr>
            <w:r w:rsidRPr="00B701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93" w:rsidP="00B70193">
            <w:pPr>
              <w:pStyle w:val="BodyText"/>
            </w:pPr>
          </w:p>
        </w:tc>
      </w:tr>
    </w:tbl>
    <w:p w:rsidR="00AD6542" w:rsidP="00B70193">
      <w:pPr>
        <w:pStyle w:val="BodyText"/>
      </w:pPr>
    </w:p>
    <w:p w:rsidR="00AD6542" w:rsidP="00B70193">
      <w:pPr>
        <w:pStyle w:val="BodyText"/>
      </w:pPr>
    </w:p>
    <w:p w:rsidR="00000000" w:rsidRPr="00B70193" w:rsidP="00B70193"/>
    <w:sectPr w:rsidSect="00B701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542" w:rsidP="00AD6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42" w:rsidP="00B70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D6542" w:rsidP="00B701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D6542" w:rsidP="00B701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542" w:rsidP="00AD65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42" w:rsidP="00B70193">
    <w:pPr>
      <w:pStyle w:val="Header"/>
      <w:framePr w:wrap="around"/>
    </w:pPr>
    <w:r>
      <w:fldChar w:fldCharType="begin"/>
    </w:r>
    <w:r>
      <w:instrText xml:space="preserve"> TITLE   \* MERGEFORMAT </w:instrText>
    </w:r>
    <w:r>
      <w:fldChar w:fldCharType="separate"/>
    </w:r>
    <w:r>
      <w:t>AURT203670B Service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6542" w:rsidP="00B701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6AA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18E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E4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1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0193"/>
    <w:pPr>
      <w:spacing w:before="360" w:after="60"/>
      <w:outlineLvl w:val="0"/>
    </w:pPr>
    <w:rPr>
      <w:sz w:val="32"/>
    </w:rPr>
  </w:style>
  <w:style w:type="paragraph" w:styleId="Heading2">
    <w:name w:val="heading 2"/>
    <w:basedOn w:val="HeadingBase"/>
    <w:next w:val="BodyText"/>
    <w:link w:val="Heading2Char"/>
    <w:qFormat/>
    <w:rsid w:val="00B70193"/>
    <w:pPr>
      <w:keepLines/>
      <w:spacing w:before="240" w:after="120"/>
      <w:outlineLvl w:val="1"/>
    </w:pPr>
    <w:rPr>
      <w:sz w:val="28"/>
      <w:szCs w:val="40"/>
    </w:rPr>
  </w:style>
  <w:style w:type="paragraph" w:styleId="Heading3">
    <w:name w:val="heading 3"/>
    <w:basedOn w:val="HeadingBase"/>
    <w:next w:val="BodyText"/>
    <w:link w:val="Heading3Char"/>
    <w:qFormat/>
    <w:rsid w:val="00B70193"/>
    <w:pPr>
      <w:spacing w:before="180" w:after="120"/>
      <w:outlineLvl w:val="2"/>
    </w:pPr>
    <w:rPr>
      <w:spacing w:val="-10"/>
      <w:kern w:val="32"/>
    </w:rPr>
  </w:style>
  <w:style w:type="paragraph" w:styleId="Heading4">
    <w:name w:val="heading 4"/>
    <w:basedOn w:val="HeadingBase"/>
    <w:next w:val="BodyText"/>
    <w:link w:val="Heading4Char"/>
    <w:qFormat/>
    <w:rsid w:val="00B70193"/>
    <w:pPr>
      <w:spacing w:before="160" w:after="120"/>
      <w:outlineLvl w:val="3"/>
    </w:pPr>
    <w:rPr>
      <w:sz w:val="22"/>
    </w:rPr>
  </w:style>
  <w:style w:type="paragraph" w:styleId="Heading5">
    <w:name w:val="heading 5"/>
    <w:basedOn w:val="HeadingBase"/>
    <w:next w:val="Normal"/>
    <w:link w:val="Heading5Char"/>
    <w:qFormat/>
    <w:rsid w:val="00B70193"/>
    <w:pPr>
      <w:spacing w:before="80"/>
      <w:outlineLvl w:val="4"/>
    </w:pPr>
    <w:rPr>
      <w:color w:val="918585"/>
      <w:sz w:val="20"/>
    </w:rPr>
  </w:style>
  <w:style w:type="paragraph" w:styleId="Heading6">
    <w:name w:val="heading 6"/>
    <w:basedOn w:val="HeadingBase"/>
    <w:next w:val="Normal"/>
    <w:link w:val="Heading6Char"/>
    <w:qFormat/>
    <w:rsid w:val="00B70193"/>
    <w:pPr>
      <w:spacing w:before="60"/>
      <w:outlineLvl w:val="5"/>
    </w:pPr>
    <w:rPr>
      <w:color w:val="918585"/>
      <w:sz w:val="20"/>
    </w:rPr>
  </w:style>
  <w:style w:type="paragraph" w:styleId="Heading7">
    <w:name w:val="heading 7"/>
    <w:basedOn w:val="Normal"/>
    <w:next w:val="Normal"/>
    <w:link w:val="Heading7Char"/>
    <w:qFormat/>
    <w:rsid w:val="00B70193"/>
    <w:pPr>
      <w:ind w:left="720"/>
      <w:outlineLvl w:val="6"/>
    </w:pPr>
    <w:rPr>
      <w:i/>
    </w:rPr>
  </w:style>
  <w:style w:type="paragraph" w:styleId="Heading8">
    <w:name w:val="heading 8"/>
    <w:basedOn w:val="Normal"/>
    <w:next w:val="Normal"/>
    <w:link w:val="Heading8Char"/>
    <w:qFormat/>
    <w:rsid w:val="00B70193"/>
    <w:pPr>
      <w:ind w:left="720"/>
      <w:outlineLvl w:val="7"/>
    </w:pPr>
    <w:rPr>
      <w:i/>
    </w:rPr>
  </w:style>
  <w:style w:type="paragraph" w:styleId="Heading9">
    <w:name w:val="heading 9"/>
    <w:basedOn w:val="Normal"/>
    <w:next w:val="Normal"/>
    <w:link w:val="Heading9Char"/>
    <w:qFormat/>
    <w:rsid w:val="00B70193"/>
    <w:pPr>
      <w:ind w:left="720"/>
      <w:outlineLvl w:val="8"/>
    </w:pPr>
    <w:rPr>
      <w:i/>
    </w:rPr>
  </w:style>
  <w:style w:type="character" w:default="1" w:styleId="DefaultParagraphFont">
    <w:name w:val="Default Paragraph Font"/>
    <w:uiPriority w:val="1"/>
    <w:unhideWhenUsed/>
    <w:rsid w:val="00B70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193"/>
  </w:style>
  <w:style w:type="character" w:customStyle="1" w:styleId="Heading1Char">
    <w:name w:val="Heading 1 Char"/>
    <w:basedOn w:val="DefaultParagraphFont"/>
    <w:link w:val="Heading1"/>
    <w:rsid w:val="00B70193"/>
    <w:rPr>
      <w:rFonts w:ascii="Times New Roman" w:eastAsia="Times New Roman" w:hAnsi="Times New Roman" w:cs="Times New Roman"/>
      <w:b/>
      <w:sz w:val="32"/>
      <w:szCs w:val="20"/>
      <w:lang w:eastAsia="en-US"/>
    </w:rPr>
  </w:style>
  <w:style w:type="paragraph" w:styleId="BodyText">
    <w:name w:val="Body Text"/>
    <w:basedOn w:val="Normal"/>
    <w:link w:val="BodyTextChar"/>
    <w:rsid w:val="00B701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0193"/>
    <w:rPr>
      <w:rFonts w:ascii="Times New Roman" w:eastAsia="Times New Roman" w:hAnsi="Times New Roman" w:cs="Times New Roman"/>
      <w:sz w:val="24"/>
      <w:lang w:val="en-US" w:eastAsia="en-US"/>
    </w:rPr>
  </w:style>
  <w:style w:type="paragraph" w:styleId="Footer">
    <w:name w:val="footer"/>
    <w:basedOn w:val="Normal"/>
    <w:link w:val="FooterChar"/>
    <w:rsid w:val="00B70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193"/>
    <w:rPr>
      <w:rFonts w:ascii="Times New Roman" w:eastAsia="Times New Roman" w:hAnsi="Times New Roman" w:cs="Times New Roman"/>
      <w:sz w:val="16"/>
      <w:lang w:val="en-US" w:eastAsia="en-US"/>
    </w:rPr>
  </w:style>
  <w:style w:type="paragraph" w:styleId="List">
    <w:name w:val="List"/>
    <w:basedOn w:val="BodyText"/>
    <w:next w:val="BodyText"/>
    <w:rsid w:val="00B70193"/>
    <w:pPr>
      <w:tabs>
        <w:tab w:val="left" w:pos="340"/>
      </w:tabs>
      <w:spacing w:before="60" w:after="60"/>
      <w:ind w:left="340" w:hanging="340"/>
    </w:pPr>
  </w:style>
  <w:style w:type="paragraph" w:styleId="ListBullet">
    <w:name w:val="List Bullet"/>
    <w:basedOn w:val="List"/>
    <w:rsid w:val="00B70193"/>
    <w:pPr>
      <w:numPr>
        <w:numId w:val="13"/>
      </w:numPr>
      <w:tabs>
        <w:tab w:val="clear" w:pos="340"/>
      </w:tabs>
      <w:spacing w:before="40" w:after="40"/>
    </w:pPr>
  </w:style>
  <w:style w:type="character" w:customStyle="1" w:styleId="SpecialBold">
    <w:name w:val="Special Bold"/>
    <w:basedOn w:val="DefaultParagraphFont"/>
    <w:rsid w:val="00B70193"/>
    <w:rPr>
      <w:b/>
      <w:spacing w:val="0"/>
    </w:rPr>
  </w:style>
  <w:style w:type="paragraph" w:styleId="ListBullet2">
    <w:name w:val="List Bullet 2"/>
    <w:basedOn w:val="List2"/>
    <w:rsid w:val="00B70193"/>
    <w:pPr>
      <w:numPr>
        <w:numId w:val="14"/>
      </w:numPr>
      <w:tabs>
        <w:tab w:val="clear" w:pos="680"/>
      </w:tabs>
    </w:pPr>
  </w:style>
  <w:style w:type="paragraph" w:styleId="Header">
    <w:name w:val="header"/>
    <w:basedOn w:val="Normal"/>
    <w:link w:val="HeaderChar"/>
    <w:rsid w:val="00B70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1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0193"/>
    <w:pPr>
      <w:spacing w:before="240" w:after="120"/>
      <w:outlineLvl w:val="0"/>
    </w:pPr>
    <w:rPr>
      <w:rFonts w:ascii="Times New Roman" w:hAnsi="Times New Roman"/>
      <w:b/>
      <w:sz w:val="28"/>
    </w:rPr>
  </w:style>
  <w:style w:type="paragraph" w:customStyle="1" w:styleId="AllowPageBreak">
    <w:name w:val="AllowPageBreak"/>
    <w:rsid w:val="00B701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0193"/>
    <w:pPr>
      <w:tabs>
        <w:tab w:val="left" w:pos="680"/>
      </w:tabs>
      <w:spacing w:before="60" w:after="60"/>
      <w:ind w:left="680" w:hanging="340"/>
    </w:pPr>
  </w:style>
  <w:style w:type="character" w:customStyle="1" w:styleId="Heading2Char">
    <w:name w:val="Heading 2 Char"/>
    <w:basedOn w:val="DefaultParagraphFont"/>
    <w:link w:val="Heading2"/>
    <w:rsid w:val="00B70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1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01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0193"/>
    <w:rPr>
      <w:rFonts w:ascii="Courier New" w:eastAsia="Times New Roman" w:hAnsi="Courier New" w:cs="Times New Roman"/>
      <w:i/>
      <w:szCs w:val="20"/>
      <w:lang w:val="en-US" w:eastAsia="en-US"/>
    </w:rPr>
  </w:style>
  <w:style w:type="paragraph" w:customStyle="1" w:styleId="HeadingBase">
    <w:name w:val="Heading Base"/>
    <w:rsid w:val="00B70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193"/>
    <w:pPr>
      <w:tabs>
        <w:tab w:val="right" w:leader="dot" w:pos="9072"/>
      </w:tabs>
      <w:ind w:left="567"/>
    </w:pPr>
    <w:rPr>
      <w:szCs w:val="22"/>
    </w:rPr>
  </w:style>
  <w:style w:type="paragraph" w:customStyle="1" w:styleId="TOCBase">
    <w:name w:val="TOC Base"/>
    <w:rsid w:val="00B70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193"/>
    <w:pPr>
      <w:tabs>
        <w:tab w:val="right" w:leader="dot" w:pos="9072"/>
      </w:tabs>
      <w:spacing w:before="40" w:after="40"/>
      <w:ind w:left="284"/>
    </w:pPr>
    <w:rPr>
      <w:rFonts w:ascii="Times New Roman" w:hAnsi="Times New Roman"/>
    </w:rPr>
  </w:style>
  <w:style w:type="paragraph" w:styleId="TOC1">
    <w:name w:val="toc 1"/>
    <w:basedOn w:val="TOCBase"/>
    <w:next w:val="Normal"/>
    <w:rsid w:val="00B701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0193"/>
    <w:pPr>
      <w:spacing w:before="5040"/>
      <w:jc w:val="center"/>
    </w:pPr>
    <w:rPr>
      <w:sz w:val="48"/>
      <w:szCs w:val="72"/>
      <w:lang w:val="en-US"/>
    </w:rPr>
  </w:style>
  <w:style w:type="character" w:customStyle="1" w:styleId="TitleChar">
    <w:name w:val="Title Char"/>
    <w:basedOn w:val="DefaultParagraphFont"/>
    <w:link w:val="Title"/>
    <w:rsid w:val="00B70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193"/>
    <w:pPr>
      <w:tabs>
        <w:tab w:val="left" w:pos="3600"/>
        <w:tab w:val="left" w:pos="3958"/>
      </w:tabs>
    </w:pPr>
  </w:style>
  <w:style w:type="paragraph" w:customStyle="1" w:styleId="Note">
    <w:name w:val="Note"/>
    <w:basedOn w:val="BodyText"/>
    <w:rsid w:val="00B70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193"/>
    <w:pPr>
      <w:framePr w:wrap="auto" w:hAnchor="text" w:y="6049"/>
    </w:pPr>
    <w:rPr>
      <w:color w:val="000000"/>
      <w:sz w:val="40"/>
    </w:rPr>
  </w:style>
  <w:style w:type="paragraph" w:customStyle="1" w:styleId="TOCTitle">
    <w:name w:val="TOCTitle"/>
    <w:basedOn w:val="Heading1"/>
    <w:rsid w:val="00B70193"/>
    <w:pPr>
      <w:spacing w:after="240"/>
      <w:jc w:val="center"/>
      <w:outlineLvl w:val="9"/>
    </w:pPr>
    <w:rPr>
      <w:caps/>
    </w:rPr>
  </w:style>
  <w:style w:type="paragraph" w:customStyle="1" w:styleId="Version">
    <w:name w:val="Version"/>
    <w:rsid w:val="00B70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0193"/>
    <w:pPr>
      <w:keepNext w:val="0"/>
      <w:tabs>
        <w:tab w:val="right" w:pos="4176"/>
      </w:tabs>
      <w:ind w:left="198" w:hanging="198"/>
    </w:pPr>
    <w:rPr>
      <w:rFonts w:ascii="Garamond" w:hAnsi="Garamond"/>
    </w:rPr>
  </w:style>
  <w:style w:type="paragraph" w:styleId="IndexHeading">
    <w:name w:val="index heading"/>
    <w:basedOn w:val="Normal"/>
    <w:next w:val="Index1"/>
    <w:semiHidden/>
    <w:rsid w:val="00B70193"/>
    <w:pPr>
      <w:spacing w:before="120" w:after="120"/>
    </w:pPr>
    <w:rPr>
      <w:rFonts w:ascii="Arial" w:hAnsi="Arial"/>
      <w:b/>
      <w:color w:val="918585"/>
      <w:sz w:val="24"/>
    </w:rPr>
  </w:style>
  <w:style w:type="paragraph" w:customStyle="1" w:styleId="Chapter">
    <w:name w:val="Chapter"/>
    <w:basedOn w:val="Normal"/>
    <w:rsid w:val="00B70193"/>
    <w:pPr>
      <w:spacing w:before="240"/>
    </w:pPr>
    <w:rPr>
      <w:rFonts w:ascii="Times New Roman" w:hAnsi="Times New Roman"/>
      <w:smallCaps/>
      <w:spacing w:val="80"/>
      <w:sz w:val="28"/>
    </w:rPr>
  </w:style>
  <w:style w:type="paragraph" w:customStyle="1" w:styleId="InChapter">
    <w:name w:val="InChapter"/>
    <w:basedOn w:val="Heading3"/>
    <w:rsid w:val="00B70193"/>
    <w:pPr>
      <w:spacing w:after="240"/>
      <w:outlineLvl w:val="9"/>
    </w:pPr>
    <w:rPr>
      <w:noProof/>
    </w:rPr>
  </w:style>
  <w:style w:type="paragraph" w:styleId="Index2">
    <w:name w:val="index 2"/>
    <w:basedOn w:val="Normal"/>
    <w:next w:val="Normal"/>
    <w:semiHidden/>
    <w:rsid w:val="00B70193"/>
    <w:pPr>
      <w:tabs>
        <w:tab w:val="right" w:pos="4176"/>
      </w:tabs>
      <w:ind w:left="568" w:hanging="284"/>
    </w:pPr>
    <w:rPr>
      <w:rFonts w:ascii="Garamond" w:hAnsi="Garamond"/>
    </w:rPr>
  </w:style>
  <w:style w:type="paragraph" w:customStyle="1" w:styleId="Byline">
    <w:name w:val="Byline"/>
    <w:rsid w:val="00B70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193"/>
    <w:pPr>
      <w:tabs>
        <w:tab w:val="clear" w:pos="3600"/>
        <w:tab w:val="clear" w:pos="3958"/>
      </w:tabs>
      <w:jc w:val="right"/>
    </w:pPr>
  </w:style>
  <w:style w:type="character" w:styleId="Emphasis">
    <w:name w:val="Emphasis"/>
    <w:basedOn w:val="DefaultParagraphFont"/>
    <w:qFormat/>
    <w:rsid w:val="00B70193"/>
    <w:rPr>
      <w:i/>
    </w:rPr>
  </w:style>
  <w:style w:type="paragraph" w:styleId="Caption">
    <w:name w:val="caption"/>
    <w:basedOn w:val="BodyText"/>
    <w:next w:val="Normal"/>
    <w:qFormat/>
    <w:rsid w:val="00B70193"/>
    <w:pPr>
      <w:framePr w:w="2268" w:hSpace="181" w:vSpace="181" w:wrap="around" w:vAnchor="text" w:hAnchor="page" w:x="1135" w:y="285" w:anchorLock="1"/>
    </w:pPr>
    <w:rPr>
      <w:i/>
    </w:rPr>
  </w:style>
  <w:style w:type="paragraph" w:customStyle="1" w:styleId="MiniTOCTitle">
    <w:name w:val="MiniTOCTitle"/>
    <w:basedOn w:val="Heading4"/>
    <w:rsid w:val="00B70193"/>
    <w:pPr>
      <w:spacing w:before="240"/>
      <w:outlineLvl w:val="9"/>
    </w:pPr>
    <w:rPr>
      <w:noProof/>
      <w:sz w:val="24"/>
    </w:rPr>
  </w:style>
  <w:style w:type="paragraph" w:customStyle="1" w:styleId="MiniTOCItem">
    <w:name w:val="MiniTOCItem"/>
    <w:basedOn w:val="ListBullet"/>
    <w:rsid w:val="00B70193"/>
    <w:pPr>
      <w:numPr>
        <w:numId w:val="0"/>
      </w:numPr>
      <w:tabs>
        <w:tab w:val="right" w:leader="dot" w:pos="6521"/>
      </w:tabs>
      <w:spacing w:before="0" w:after="0"/>
    </w:pPr>
  </w:style>
  <w:style w:type="paragraph" w:customStyle="1" w:styleId="TOFTitle">
    <w:name w:val="TOFTitle"/>
    <w:basedOn w:val="TOCTitle"/>
    <w:rsid w:val="00B70193"/>
  </w:style>
  <w:style w:type="paragraph" w:styleId="TableofFigures">
    <w:name w:val="table of figures"/>
    <w:basedOn w:val="Normal"/>
    <w:next w:val="Normal"/>
    <w:semiHidden/>
    <w:rsid w:val="00B70193"/>
    <w:pPr>
      <w:tabs>
        <w:tab w:val="right" w:leader="dot" w:pos="9072"/>
      </w:tabs>
      <w:ind w:left="970" w:hanging="403"/>
    </w:pPr>
    <w:rPr>
      <w:rFonts w:ascii="Times New Roman" w:hAnsi="Times New Roman"/>
      <w:b/>
    </w:rPr>
  </w:style>
  <w:style w:type="paragraph" w:styleId="ListNumber">
    <w:name w:val="List Number"/>
    <w:basedOn w:val="List"/>
    <w:rsid w:val="00B70193"/>
    <w:pPr>
      <w:numPr>
        <w:numId w:val="11"/>
      </w:numPr>
    </w:pPr>
  </w:style>
  <w:style w:type="character" w:customStyle="1" w:styleId="WingdingSymbols">
    <w:name w:val="Wingding Symbols"/>
    <w:rsid w:val="00B70193"/>
    <w:rPr>
      <w:rFonts w:ascii="Wingdings" w:hAnsi="Wingdings"/>
    </w:rPr>
  </w:style>
  <w:style w:type="paragraph" w:customStyle="1" w:styleId="TableHeading">
    <w:name w:val="Table Heading"/>
    <w:basedOn w:val="HeadingBase"/>
    <w:rsid w:val="00B70193"/>
    <w:pPr>
      <w:keepLines/>
      <w:pBdr>
        <w:bottom w:val="single" w:sz="6" w:space="1" w:color="918585"/>
      </w:pBdr>
      <w:spacing w:before="240"/>
    </w:pPr>
  </w:style>
  <w:style w:type="character" w:customStyle="1" w:styleId="HotSpot">
    <w:name w:val="HotSpot"/>
    <w:rsid w:val="00B70193"/>
    <w:rPr>
      <w:color w:val="0033CC"/>
      <w:u w:val="none"/>
    </w:rPr>
  </w:style>
  <w:style w:type="paragraph" w:customStyle="1" w:styleId="BodyTextRight">
    <w:name w:val="Body Text Right"/>
    <w:basedOn w:val="BodyText"/>
    <w:rsid w:val="00B70193"/>
    <w:pPr>
      <w:spacing w:before="0" w:after="0"/>
      <w:jc w:val="right"/>
    </w:pPr>
  </w:style>
  <w:style w:type="paragraph" w:styleId="Index3">
    <w:name w:val="index 3"/>
    <w:basedOn w:val="ListNumber2"/>
    <w:next w:val="Normal"/>
    <w:semiHidden/>
    <w:rsid w:val="00B70193"/>
    <w:pPr>
      <w:numPr>
        <w:numId w:val="0"/>
      </w:numPr>
      <w:tabs>
        <w:tab w:val="right" w:leader="dot" w:pos="4176"/>
      </w:tabs>
    </w:pPr>
  </w:style>
  <w:style w:type="paragraph" w:styleId="ListNumber2">
    <w:name w:val="List Number 2"/>
    <w:basedOn w:val="List2"/>
    <w:rsid w:val="00B70193"/>
    <w:pPr>
      <w:numPr>
        <w:numId w:val="10"/>
      </w:numPr>
      <w:tabs>
        <w:tab w:val="clear" w:pos="1060"/>
      </w:tabs>
    </w:pPr>
  </w:style>
  <w:style w:type="paragraph" w:customStyle="1" w:styleId="MarginNote">
    <w:name w:val="Margin Note"/>
    <w:basedOn w:val="BodyText"/>
    <w:rsid w:val="00B70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1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0193"/>
    <w:rPr>
      <w:sz w:val="32"/>
    </w:rPr>
  </w:style>
  <w:style w:type="paragraph" w:customStyle="1" w:styleId="HeadingProcedure">
    <w:name w:val="Heading Procedure"/>
    <w:basedOn w:val="HeadingBase"/>
    <w:next w:val="Normal"/>
    <w:rsid w:val="00B70193"/>
    <w:pPr>
      <w:tabs>
        <w:tab w:val="left" w:pos="0"/>
      </w:tabs>
      <w:spacing w:before="120" w:after="60"/>
    </w:pPr>
    <w:rPr>
      <w:i/>
      <w:color w:val="918585"/>
      <w:sz w:val="22"/>
    </w:rPr>
  </w:style>
  <w:style w:type="paragraph" w:customStyle="1" w:styleId="TableBodyText">
    <w:name w:val="Table Body Text"/>
    <w:basedOn w:val="BodyText"/>
    <w:rsid w:val="00B70193"/>
    <w:pPr>
      <w:spacing w:before="60" w:after="60"/>
    </w:pPr>
  </w:style>
  <w:style w:type="paragraph" w:styleId="ListContinue">
    <w:name w:val="List Continue"/>
    <w:basedOn w:val="List"/>
    <w:rsid w:val="00B70193"/>
    <w:pPr>
      <w:ind w:firstLine="0"/>
    </w:pPr>
  </w:style>
  <w:style w:type="paragraph" w:customStyle="1" w:styleId="ListNote">
    <w:name w:val="List Note"/>
    <w:basedOn w:val="List"/>
    <w:rsid w:val="00B70193"/>
    <w:pPr>
      <w:pBdr>
        <w:top w:val="single" w:sz="6" w:space="2" w:color="918585"/>
        <w:bottom w:val="single" w:sz="6" w:space="2" w:color="918585"/>
      </w:pBdr>
      <w:tabs>
        <w:tab w:val="left" w:pos="1021"/>
      </w:tabs>
      <w:ind w:firstLine="0"/>
    </w:pPr>
  </w:style>
  <w:style w:type="paragraph" w:customStyle="1" w:styleId="Warning">
    <w:name w:val="Warning"/>
    <w:basedOn w:val="BodyText"/>
    <w:rsid w:val="00B70193"/>
    <w:pPr>
      <w:shd w:val="clear" w:color="auto" w:fill="D9D9D9"/>
      <w:tabs>
        <w:tab w:val="left" w:pos="992"/>
      </w:tabs>
      <w:ind w:left="119" w:right="119"/>
    </w:pPr>
    <w:rPr>
      <w:sz w:val="20"/>
    </w:rPr>
  </w:style>
  <w:style w:type="paragraph" w:customStyle="1" w:styleId="MarginIcons">
    <w:name w:val="Margin Icons"/>
    <w:basedOn w:val="BodyText"/>
    <w:rsid w:val="00B70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193"/>
    <w:rPr>
      <w:rFonts w:ascii="Courier New" w:hAnsi="Courier New"/>
    </w:rPr>
  </w:style>
  <w:style w:type="paragraph" w:customStyle="1" w:styleId="NoteBullet">
    <w:name w:val="Note Bullet"/>
    <w:basedOn w:val="Note"/>
    <w:rsid w:val="00B70193"/>
    <w:pPr>
      <w:tabs>
        <w:tab w:val="clear" w:pos="680"/>
      </w:tabs>
      <w:spacing w:before="60" w:after="60"/>
    </w:pPr>
  </w:style>
  <w:style w:type="paragraph" w:customStyle="1" w:styleId="SubHeading2">
    <w:name w:val="SubHeading2"/>
    <w:basedOn w:val="HeadingBase"/>
    <w:rsid w:val="00B70193"/>
    <w:pPr>
      <w:spacing w:before="240" w:after="60"/>
    </w:pPr>
    <w:rPr>
      <w:sz w:val="20"/>
    </w:rPr>
  </w:style>
  <w:style w:type="paragraph" w:customStyle="1" w:styleId="SubHeading1">
    <w:name w:val="SubHeading1"/>
    <w:basedOn w:val="HeadingBase"/>
    <w:rsid w:val="00B70193"/>
    <w:pPr>
      <w:spacing w:before="240" w:after="60"/>
    </w:pPr>
    <w:rPr>
      <w:color w:val="918585"/>
      <w:sz w:val="22"/>
    </w:rPr>
  </w:style>
  <w:style w:type="paragraph" w:customStyle="1" w:styleId="SideHeading">
    <w:name w:val="Side Heading"/>
    <w:basedOn w:val="HeadingBase"/>
    <w:rsid w:val="00B70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193"/>
    <w:pPr>
      <w:numPr>
        <w:numId w:val="12"/>
      </w:numPr>
    </w:pPr>
  </w:style>
  <w:style w:type="paragraph" w:styleId="PlainText">
    <w:name w:val="Plain Text"/>
    <w:basedOn w:val="Normal"/>
    <w:link w:val="PlainTextChar"/>
    <w:rsid w:val="00B70193"/>
    <w:rPr>
      <w:sz w:val="20"/>
    </w:rPr>
  </w:style>
  <w:style w:type="character" w:customStyle="1" w:styleId="PlainTextChar">
    <w:name w:val="Plain Text Char"/>
    <w:basedOn w:val="DefaultParagraphFont"/>
    <w:link w:val="PlainText"/>
    <w:rsid w:val="00B701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0193"/>
    <w:rPr>
      <w:b/>
      <w:smallCaps/>
    </w:rPr>
  </w:style>
  <w:style w:type="paragraph" w:customStyle="1" w:styleId="TableListNumber">
    <w:name w:val="Table List Number"/>
    <w:basedOn w:val="ListNumber"/>
    <w:rsid w:val="00B70193"/>
    <w:pPr>
      <w:numPr>
        <w:numId w:val="0"/>
      </w:numPr>
    </w:pPr>
  </w:style>
  <w:style w:type="paragraph" w:styleId="TOC4">
    <w:name w:val="toc 4"/>
    <w:basedOn w:val="TOCBase"/>
    <w:next w:val="Normal"/>
    <w:semiHidden/>
    <w:rsid w:val="00B70193"/>
    <w:pPr>
      <w:tabs>
        <w:tab w:val="right" w:leader="dot" w:pos="9071"/>
      </w:tabs>
      <w:ind w:left="1701"/>
    </w:pPr>
  </w:style>
  <w:style w:type="paragraph" w:customStyle="1" w:styleId="ListAlpha">
    <w:name w:val="List Alpha"/>
    <w:basedOn w:val="List"/>
    <w:rsid w:val="00B70193"/>
    <w:pPr>
      <w:numPr>
        <w:numId w:val="9"/>
      </w:numPr>
    </w:pPr>
  </w:style>
  <w:style w:type="paragraph" w:customStyle="1" w:styleId="ListAlpha2">
    <w:name w:val="List Alpha 2"/>
    <w:basedOn w:val="List2"/>
    <w:rsid w:val="00B70193"/>
    <w:pPr>
      <w:numPr>
        <w:numId w:val="8"/>
      </w:numPr>
    </w:pPr>
  </w:style>
  <w:style w:type="paragraph" w:styleId="List3">
    <w:name w:val="List 3"/>
    <w:basedOn w:val="BodyText"/>
    <w:rsid w:val="00B70193"/>
    <w:pPr>
      <w:tabs>
        <w:tab w:val="left" w:pos="1021"/>
      </w:tabs>
      <w:spacing w:before="60" w:after="60"/>
      <w:ind w:left="1020" w:hanging="340"/>
    </w:pPr>
  </w:style>
  <w:style w:type="paragraph" w:styleId="List4">
    <w:name w:val="List 4"/>
    <w:basedOn w:val="BodyText"/>
    <w:rsid w:val="00B70193"/>
    <w:pPr>
      <w:tabs>
        <w:tab w:val="left" w:pos="1361"/>
      </w:tabs>
      <w:spacing w:before="60" w:after="60"/>
      <w:ind w:left="1361" w:hanging="340"/>
    </w:pPr>
  </w:style>
  <w:style w:type="paragraph" w:styleId="List5">
    <w:name w:val="List 5"/>
    <w:basedOn w:val="BodyText"/>
    <w:rsid w:val="00B70193"/>
    <w:pPr>
      <w:tabs>
        <w:tab w:val="left" w:pos="1701"/>
      </w:tabs>
      <w:spacing w:before="60" w:after="60"/>
      <w:ind w:left="1701" w:hanging="340"/>
    </w:pPr>
  </w:style>
  <w:style w:type="paragraph" w:styleId="ListBullet3">
    <w:name w:val="List Bullet 3"/>
    <w:basedOn w:val="List3"/>
    <w:rsid w:val="00B70193"/>
    <w:pPr>
      <w:numPr>
        <w:numId w:val="15"/>
      </w:numPr>
      <w:tabs>
        <w:tab w:val="clear" w:pos="1021"/>
      </w:tabs>
      <w:ind w:left="1037" w:hanging="357"/>
    </w:pPr>
  </w:style>
  <w:style w:type="paragraph" w:styleId="ListBullet4">
    <w:name w:val="List Bullet 4"/>
    <w:basedOn w:val="List4"/>
    <w:rsid w:val="00B70193"/>
    <w:pPr>
      <w:numPr>
        <w:numId w:val="3"/>
      </w:numPr>
    </w:pPr>
  </w:style>
  <w:style w:type="paragraph" w:styleId="ListBullet5">
    <w:name w:val="List Bullet 5"/>
    <w:basedOn w:val="List5"/>
    <w:rsid w:val="00B70193"/>
    <w:pPr>
      <w:numPr>
        <w:numId w:val="4"/>
      </w:numPr>
    </w:pPr>
  </w:style>
  <w:style w:type="paragraph" w:styleId="ListContinue2">
    <w:name w:val="List Continue 2"/>
    <w:basedOn w:val="List2"/>
    <w:rsid w:val="00B70193"/>
    <w:pPr>
      <w:ind w:firstLine="0"/>
    </w:pPr>
  </w:style>
  <w:style w:type="paragraph" w:styleId="ListContinue3">
    <w:name w:val="List Continue 3"/>
    <w:basedOn w:val="List3"/>
    <w:rsid w:val="00B70193"/>
    <w:pPr>
      <w:ind w:left="1021" w:firstLine="0"/>
    </w:pPr>
  </w:style>
  <w:style w:type="paragraph" w:styleId="ListContinue4">
    <w:name w:val="List Continue 4"/>
    <w:basedOn w:val="List4"/>
    <w:rsid w:val="00B70193"/>
    <w:pPr>
      <w:ind w:firstLine="0"/>
    </w:pPr>
  </w:style>
  <w:style w:type="paragraph" w:styleId="ListContinue5">
    <w:name w:val="List Continue 5"/>
    <w:basedOn w:val="List5"/>
    <w:rsid w:val="00B70193"/>
    <w:pPr>
      <w:ind w:firstLine="0"/>
    </w:pPr>
  </w:style>
  <w:style w:type="paragraph" w:styleId="ListNumber3">
    <w:name w:val="List Number 3"/>
    <w:basedOn w:val="List3"/>
    <w:rsid w:val="00B70193"/>
    <w:pPr>
      <w:numPr>
        <w:numId w:val="5"/>
      </w:numPr>
    </w:pPr>
  </w:style>
  <w:style w:type="paragraph" w:styleId="ListNumber4">
    <w:name w:val="List Number 4"/>
    <w:basedOn w:val="List4"/>
    <w:rsid w:val="00B70193"/>
    <w:pPr>
      <w:numPr>
        <w:numId w:val="6"/>
      </w:numPr>
    </w:pPr>
  </w:style>
  <w:style w:type="paragraph" w:styleId="ListNumber5">
    <w:name w:val="List Number 5"/>
    <w:basedOn w:val="List5"/>
    <w:rsid w:val="00B70193"/>
    <w:pPr>
      <w:numPr>
        <w:numId w:val="7"/>
      </w:numPr>
    </w:pPr>
  </w:style>
  <w:style w:type="paragraph" w:styleId="BlockText">
    <w:name w:val="Block Text"/>
    <w:basedOn w:val="Normal"/>
    <w:rsid w:val="00B70193"/>
    <w:pPr>
      <w:spacing w:after="120"/>
      <w:ind w:left="1440" w:right="1440"/>
    </w:pPr>
  </w:style>
  <w:style w:type="character" w:customStyle="1" w:styleId="Subscript">
    <w:name w:val="Subscript"/>
    <w:basedOn w:val="DefaultParagraphFont"/>
    <w:rsid w:val="00B70193"/>
    <w:rPr>
      <w:sz w:val="16"/>
      <w:vertAlign w:val="subscript"/>
    </w:rPr>
  </w:style>
  <w:style w:type="character" w:customStyle="1" w:styleId="Superscript">
    <w:name w:val="Superscript"/>
    <w:basedOn w:val="DefaultParagraphFont"/>
    <w:rsid w:val="00B70193"/>
    <w:rPr>
      <w:sz w:val="16"/>
      <w:vertAlign w:val="superscript"/>
    </w:rPr>
  </w:style>
  <w:style w:type="character" w:customStyle="1" w:styleId="Symbols">
    <w:name w:val="Symbols"/>
    <w:basedOn w:val="DefaultParagraphFont"/>
    <w:rsid w:val="00B70193"/>
    <w:rPr>
      <w:rFonts w:ascii="Symbol" w:hAnsi="Symbol"/>
    </w:rPr>
  </w:style>
  <w:style w:type="character" w:customStyle="1" w:styleId="MenuOptions">
    <w:name w:val="Menu Options"/>
    <w:basedOn w:val="DefaultParagraphFont"/>
    <w:rsid w:val="00B70193"/>
    <w:rPr>
      <w:rFonts w:ascii="Arial Narrow" w:hAnsi="Arial Narrow"/>
      <w:smallCaps/>
    </w:rPr>
  </w:style>
  <w:style w:type="character" w:customStyle="1" w:styleId="Buttons">
    <w:name w:val="Buttons"/>
    <w:basedOn w:val="DefaultParagraphFont"/>
    <w:rsid w:val="00B70193"/>
    <w:rPr>
      <w:b/>
    </w:rPr>
  </w:style>
  <w:style w:type="character" w:customStyle="1" w:styleId="Underlined">
    <w:name w:val="Underlined"/>
    <w:basedOn w:val="DefaultParagraphFont"/>
    <w:rsid w:val="00B70193"/>
    <w:rPr>
      <w:u w:val="single"/>
    </w:rPr>
  </w:style>
  <w:style w:type="paragraph" w:customStyle="1" w:styleId="TableBodyTextRight">
    <w:name w:val="Table Body Text Right"/>
    <w:basedOn w:val="TableBodyText"/>
    <w:rsid w:val="00B70193"/>
    <w:pPr>
      <w:widowControl w:val="0"/>
      <w:autoSpaceDE w:val="0"/>
      <w:autoSpaceDN w:val="0"/>
      <w:adjustRightInd w:val="0"/>
      <w:jc w:val="right"/>
    </w:pPr>
    <w:rPr>
      <w:rFonts w:cs="Arial"/>
      <w:szCs w:val="18"/>
    </w:rPr>
  </w:style>
  <w:style w:type="paragraph" w:customStyle="1" w:styleId="CopyrightText">
    <w:name w:val="Copyright Text"/>
    <w:basedOn w:val="BodyText"/>
    <w:rsid w:val="00B70193"/>
    <w:rPr>
      <w:sz w:val="18"/>
    </w:rPr>
  </w:style>
  <w:style w:type="paragraph" w:customStyle="1" w:styleId="BodySmallRight">
    <w:name w:val="Body Small Right"/>
    <w:basedOn w:val="BodyTextRight"/>
    <w:rsid w:val="00B70193"/>
    <w:rPr>
      <w:sz w:val="18"/>
      <w:szCs w:val="18"/>
    </w:rPr>
  </w:style>
  <w:style w:type="paragraph" w:customStyle="1" w:styleId="MarginEdition">
    <w:name w:val="Margin Edition"/>
    <w:basedOn w:val="MarginNote"/>
    <w:rsid w:val="00B70193"/>
    <w:pPr>
      <w:spacing w:before="0" w:after="0"/>
    </w:pPr>
    <w:rPr>
      <w:rFonts w:ascii="Times New Roman" w:hAnsi="Times New Roman"/>
      <w:color w:val="999999"/>
    </w:rPr>
  </w:style>
  <w:style w:type="paragraph" w:customStyle="1" w:styleId="Spacer">
    <w:name w:val="Spacer"/>
    <w:basedOn w:val="Normal"/>
    <w:rsid w:val="00B70193"/>
    <w:rPr>
      <w:sz w:val="2"/>
      <w:szCs w:val="2"/>
    </w:rPr>
  </w:style>
  <w:style w:type="character" w:customStyle="1" w:styleId="Small">
    <w:name w:val="Small"/>
    <w:basedOn w:val="DefaultParagraphFont"/>
    <w:rsid w:val="00B70193"/>
    <w:rPr>
      <w:sz w:val="16"/>
    </w:rPr>
  </w:style>
  <w:style w:type="paragraph" w:customStyle="1" w:styleId="WideTable">
    <w:name w:val="Wide Table"/>
    <w:basedOn w:val="Normal"/>
    <w:rsid w:val="00B70193"/>
    <w:pPr>
      <w:ind w:left="-1418"/>
    </w:pPr>
    <w:rPr>
      <w:sz w:val="2"/>
      <w:szCs w:val="2"/>
    </w:rPr>
  </w:style>
  <w:style w:type="character" w:styleId="PageNumber">
    <w:name w:val="page number"/>
    <w:basedOn w:val="DefaultParagraphFont"/>
    <w:rsid w:val="00B70193"/>
  </w:style>
  <w:style w:type="paragraph" w:styleId="Quote">
    <w:name w:val="Quote"/>
    <w:basedOn w:val="Heading1"/>
    <w:link w:val="QuoteChar"/>
    <w:qFormat/>
    <w:rsid w:val="00B70193"/>
    <w:rPr>
      <w:b w:val="0"/>
      <w:sz w:val="72"/>
      <w:szCs w:val="72"/>
      <w:lang w:val="en-NZ"/>
    </w:rPr>
  </w:style>
  <w:style w:type="character" w:customStyle="1" w:styleId="QuoteChar">
    <w:name w:val="Quote Char"/>
    <w:basedOn w:val="DefaultParagraphFont"/>
    <w:link w:val="Quote"/>
    <w:rsid w:val="00B70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193"/>
    <w:pPr>
      <w:pageBreakBefore/>
    </w:pPr>
  </w:style>
  <w:style w:type="paragraph" w:customStyle="1" w:styleId="Border">
    <w:name w:val="Border"/>
    <w:basedOn w:val="Normal"/>
    <w:qFormat/>
    <w:rsid w:val="00B70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193"/>
    <w:rPr>
      <w:b/>
      <w:bCs/>
      <w:i/>
      <w:iCs/>
      <w:color w:val="auto"/>
    </w:rPr>
  </w:style>
  <w:style w:type="paragraph" w:styleId="IntenseQuote">
    <w:name w:val="Intense Quote"/>
    <w:basedOn w:val="Normal"/>
    <w:next w:val="Normal"/>
    <w:link w:val="IntenseQuoteChar"/>
    <w:uiPriority w:val="30"/>
    <w:qFormat/>
    <w:rsid w:val="00B70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1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0193"/>
    <w:rPr>
      <w:smallCaps/>
      <w:color w:val="auto"/>
      <w:u w:val="single"/>
    </w:rPr>
  </w:style>
  <w:style w:type="character" w:styleId="IntenseReference">
    <w:name w:val="Intense Reference"/>
    <w:basedOn w:val="DefaultParagraphFont"/>
    <w:uiPriority w:val="32"/>
    <w:qFormat/>
    <w:rsid w:val="00B70193"/>
    <w:rPr>
      <w:b/>
      <w:bCs/>
      <w:smallCaps/>
      <w:color w:val="auto"/>
      <w:spacing w:val="5"/>
      <w:u w:val="single"/>
    </w:rPr>
  </w:style>
  <w:style w:type="paragraph" w:customStyle="1" w:styleId="2ColumnHeading">
    <w:name w:val="2Column Heading"/>
    <w:basedOn w:val="BodyText"/>
    <w:qFormat/>
    <w:rsid w:val="00B70193"/>
    <w:pPr>
      <w:spacing w:after="60"/>
      <w:ind w:left="-2268"/>
    </w:pPr>
    <w:rPr>
      <w:b/>
    </w:rPr>
  </w:style>
  <w:style w:type="paragraph" w:customStyle="1" w:styleId="Heading1TOC">
    <w:name w:val="Heading1 TOC"/>
    <w:basedOn w:val="Normal"/>
    <w:qFormat/>
    <w:rsid w:val="00B70193"/>
    <w:pPr>
      <w:spacing w:before="240" w:after="120"/>
    </w:pPr>
    <w:rPr>
      <w:rFonts w:ascii="Times New Roman" w:hAnsi="Times New Roman"/>
      <w:b/>
      <w:sz w:val="32"/>
    </w:rPr>
  </w:style>
  <w:style w:type="paragraph" w:customStyle="1" w:styleId="Heading2TOC">
    <w:name w:val="Heading2 TOC"/>
    <w:basedOn w:val="Normal"/>
    <w:qFormat/>
    <w:rsid w:val="00B70193"/>
    <w:pPr>
      <w:spacing w:before="240" w:after="60"/>
    </w:pPr>
    <w:rPr>
      <w:rFonts w:ascii="Times New Roman" w:hAnsi="Times New Roman"/>
      <w:b/>
      <w:sz w:val="28"/>
    </w:rPr>
  </w:style>
  <w:style w:type="character" w:customStyle="1" w:styleId="Underline">
    <w:name w:val="Underline"/>
    <w:basedOn w:val="DefaultParagraphFont"/>
    <w:qFormat/>
    <w:rsid w:val="00B70193"/>
    <w:rPr>
      <w:u w:val="single"/>
    </w:rPr>
  </w:style>
  <w:style w:type="character" w:customStyle="1" w:styleId="BoldandItalics">
    <w:name w:val="Bold and Italics"/>
    <w:qFormat/>
    <w:rsid w:val="00B70193"/>
    <w:rPr>
      <w:b/>
      <w:i/>
      <w:u w:val="none"/>
    </w:rPr>
  </w:style>
  <w:style w:type="paragraph" w:styleId="BalloonText">
    <w:name w:val="Balloon Text"/>
    <w:basedOn w:val="Normal"/>
    <w:link w:val="BalloonTextChar"/>
    <w:rsid w:val="00B70193"/>
    <w:rPr>
      <w:rFonts w:ascii="Tahoma" w:hAnsi="Tahoma" w:cs="Tahoma"/>
      <w:sz w:val="16"/>
      <w:szCs w:val="16"/>
    </w:rPr>
  </w:style>
  <w:style w:type="character" w:customStyle="1" w:styleId="BalloonTextChar">
    <w:name w:val="Balloon Text Char"/>
    <w:basedOn w:val="DefaultParagraphFont"/>
    <w:link w:val="BalloonText"/>
    <w:rsid w:val="00B701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01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01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1508</Words>
  <Characters>10255</Characters>
  <Application>Microsoft Office Word</Application>
  <DocSecurity>0</DocSecurity>
  <Lines>351</Lines>
  <Paragraphs>182</Paragraphs>
  <ScaleCrop>false</ScaleCrop>
  <Company>Author-it Software Corporation Ltd.</Company>
  <LinksUpToDate>false</LinksUpToDate>
  <CharactersWithSpaces>11687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AURT203670B Service diesel fuel injection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