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E15" w:rsidP="00B31E15">
      <w:pPr>
        <w:pStyle w:val="Title"/>
      </w:pPr>
      <w:r>
        <w:fldChar w:fldCharType="begin"/>
      </w:r>
      <w:r>
        <w:instrText xml:space="preserve"> TITLE   \* MERGEFORMAT </w:instrText>
      </w:r>
      <w:r>
        <w:fldChar w:fldCharType="separate"/>
      </w:r>
      <w:r>
        <w:t>AURETH4011 Deactivate and reinitialise power supply in hybrid electric vehicles</w:t>
      </w:r>
      <w:r>
        <w:fldChar w:fldCharType="end"/>
      </w:r>
    </w:p>
    <w:p w:rsidR="00B31E15" w:rsidP="00B31E15">
      <w:pPr>
        <w:pStyle w:val="Version"/>
        <w:sectPr w:rsidSect="00AA7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7939" w:rsidP="00AA7939">
      <w:pPr>
        <w:pStyle w:val="SuperHeading"/>
      </w:pPr>
      <w:r w:rsidRPr="00AA7939">
        <w:t>AURETH4011 Deactivate and reinitialise power supply in hybrid electric vehicles</w:t>
      </w:r>
    </w:p>
    <w:p w:rsidR="00000000" w:rsidRPr="00AA7939" w:rsidP="00AA7939">
      <w:pPr>
        <w:pStyle w:val="Heading1"/>
      </w:pPr>
      <w:bookmarkStart w:id="1" w:name="O_522602"/>
      <w:bookmarkEnd w:id="1"/>
      <w:r w:rsidRPr="00AA7939">
        <w:t>Modification History</w:t>
      </w:r>
    </w:p>
    <w:tbl>
      <w:tblPr>
        <w:tblW w:w="9639" w:type="dxa"/>
        <w:tblLayout w:type="fixed"/>
        <w:tblCellMar>
          <w:left w:w="62" w:type="dxa"/>
          <w:right w:w="62" w:type="dxa"/>
        </w:tblCellMar>
        <w:tblLook w:val="0000"/>
      </w:tblPr>
      <w:tblGrid>
        <w:gridCol w:w="2977"/>
        <w:gridCol w:w="6662"/>
      </w:tblGrid>
      <w:tr w:rsidTr="00B31E1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Comment</w:t>
            </w:r>
          </w:p>
        </w:tc>
      </w:tr>
      <w:tr w:rsidTr="00B31E15">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t>Replaces AURETH4011 Deactivate and reinitialise power supply in hybrid electric vehicles (Release 1)</w:t>
            </w:r>
          </w:p>
          <w:p w:rsidR="00000000" w:rsidRPr="00AA7939" w:rsidP="00AA7939">
            <w:pPr>
              <w:pStyle w:val="BodyText"/>
            </w:pPr>
            <w:r w:rsidRPr="00AA7939">
              <w:t>Reference to OHS legislation replaced with new WHS legislation</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2" w:name="O_522601"/>
      <w:bookmarkEnd w:id="2"/>
      <w:r w:rsidRPr="00AA7939">
        <w:t>Unit Descriptor</w:t>
      </w:r>
    </w:p>
    <w:tbl>
      <w:tblPr>
        <w:tblW w:w="0" w:type="auto"/>
        <w:tblLayout w:type="fixed"/>
        <w:tblCellMar>
          <w:left w:w="62" w:type="dxa"/>
          <w:right w:w="62" w:type="dxa"/>
        </w:tblCellMar>
        <w:tblLook w:val="0000"/>
      </w:tblPr>
      <w:tblGrid>
        <w:gridCol w:w="2835"/>
        <w:gridCol w:w="5670"/>
      </w:tblGrid>
      <w:tr w:rsidTr="00AA793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BodyText"/>
            </w:pPr>
            <w:r w:rsidRPr="00AA7939">
              <w:t xml:space="preserve">This unit describes the performance outcomes required to isolate the low voltage (LV) and high voltage (HV) electrical power supply of hybrid </w:t>
            </w:r>
            <w:r w:rsidRPr="00AA7939">
              <w:t>electric vehicles (HEVs). It involves calibrating systems that require re-setting once the power supply and system are re-energised.</w:t>
            </w:r>
          </w:p>
          <w:p w:rsidR="00000000" w:rsidRPr="00AA7939" w:rsidP="00AA7939">
            <w:pPr>
              <w:pStyle w:val="BodyText"/>
            </w:pPr>
            <w:r w:rsidRPr="00AA7939">
              <w:t>Importance is placed on the application of HV safety procedures.</w:t>
            </w:r>
          </w:p>
          <w:p w:rsidR="00000000" w:rsidRPr="00AA7939" w:rsidP="00AA7939">
            <w:pPr>
              <w:pStyle w:val="BodyText"/>
            </w:pPr>
            <w:r w:rsidRPr="00AA7939">
              <w:t>Licensing, legislative, regulatory or certification requirements may apply to this unit in some jurisdictions. Users are advised to check with the relevant regulatory authority.</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3" w:name="O_522600"/>
      <w:bookmarkEnd w:id="3"/>
      <w:r w:rsidRPr="00AA7939">
        <w:t>Application of the Unit</w:t>
      </w:r>
    </w:p>
    <w:tbl>
      <w:tblPr>
        <w:tblW w:w="0" w:type="auto"/>
        <w:tblLayout w:type="fixed"/>
        <w:tblCellMar>
          <w:left w:w="62" w:type="dxa"/>
          <w:right w:w="62" w:type="dxa"/>
        </w:tblCellMar>
        <w:tblLook w:val="0000"/>
      </w:tblPr>
      <w:tblGrid>
        <w:gridCol w:w="2835"/>
        <w:gridCol w:w="5670"/>
      </w:tblGrid>
      <w:tr w:rsidTr="00AA793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BodyText"/>
            </w:pPr>
            <w:r w:rsidRPr="00AA7939">
              <w:t>Work applie</w:t>
            </w:r>
            <w:r w:rsidRPr="00AA7939">
              <w:t xml:space="preserve">s to HEVs that have particular requirements for deactivating and reinitialising electrical circuits and equipment, including resetting electrical or electronic HV and LV sub-systems and components. </w:t>
            </w:r>
          </w:p>
          <w:p w:rsidR="00000000" w:rsidRPr="00AA7939" w:rsidP="00AA7939">
            <w:pPr>
              <w:pStyle w:val="BodyText"/>
            </w:pPr>
            <w:r w:rsidRPr="00AA7939">
              <w:t xml:space="preserve">It involves working with HV alternating current (AC) and </w:t>
            </w:r>
            <w:r w:rsidRPr="00AA7939">
              <w:t>direct current (DC) automotive electrical components.</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4" w:name="O_522599"/>
      <w:bookmarkEnd w:id="4"/>
      <w:r w:rsidRPr="00AA7939">
        <w:t>Licensing/Regulatory Information</w:t>
      </w:r>
    </w:p>
    <w:p w:rsidR="00000000" w:rsidRPr="00AA7939" w:rsidP="00AA7939">
      <w:pPr>
        <w:pStyle w:val="BodyText"/>
      </w:pPr>
      <w:r w:rsidRPr="00AA7939">
        <w:t>Refer to Unit Descriptor.</w:t>
      </w:r>
    </w:p>
    <w:p w:rsidR="00000000" w:rsidRPr="00AA7939" w:rsidP="00AA7939">
      <w:pPr>
        <w:pStyle w:val="AllowPageBreak"/>
      </w:pPr>
    </w:p>
    <w:p w:rsidR="00000000" w:rsidRPr="00AA7939" w:rsidP="00AA7939">
      <w:pPr>
        <w:pStyle w:val="Heading1"/>
      </w:pPr>
      <w:bookmarkStart w:id="5" w:name="O_522598"/>
      <w:bookmarkEnd w:id="5"/>
      <w:r w:rsidRPr="00AA7939">
        <w:t>Pre-Requisites</w:t>
      </w:r>
    </w:p>
    <w:p w:rsidR="00000000" w:rsidRPr="00AA7939" w:rsidP="00AA7939">
      <w:pPr>
        <w:pStyle w:val="BodyText"/>
      </w:pPr>
      <w:r w:rsidRPr="00AA7939">
        <w:t xml:space="preserve">Not applicable. </w:t>
      </w:r>
    </w:p>
    <w:p w:rsidR="00000000" w:rsidRPr="00AA7939" w:rsidP="00AA7939">
      <w:pPr>
        <w:pStyle w:val="AllowPageBreak"/>
      </w:pPr>
    </w:p>
    <w:p w:rsidR="00000000" w:rsidRPr="00AA7939" w:rsidP="00AA7939">
      <w:pPr>
        <w:pStyle w:val="Heading1"/>
      </w:pPr>
      <w:bookmarkStart w:id="6" w:name="O_522597"/>
      <w:bookmarkEnd w:id="6"/>
      <w:r w:rsidRPr="00AA7939">
        <w:t>Employability Skills Information</w:t>
      </w:r>
    </w:p>
    <w:tbl>
      <w:tblPr>
        <w:tblW w:w="0" w:type="auto"/>
        <w:tblLayout w:type="fixed"/>
        <w:tblCellMar>
          <w:left w:w="62" w:type="dxa"/>
          <w:right w:w="62" w:type="dxa"/>
        </w:tblCellMar>
        <w:tblLook w:val="0000"/>
      </w:tblPr>
      <w:tblGrid>
        <w:gridCol w:w="2835"/>
        <w:gridCol w:w="5670"/>
      </w:tblGrid>
      <w:tr w:rsidTr="00AA793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BodyText"/>
            </w:pPr>
            <w:r w:rsidRPr="00AA7939">
              <w:t>This</w:t>
            </w:r>
            <w:r w:rsidRPr="00AA7939">
              <w:t xml:space="preserve"> unit contains employability skills.</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7" w:name="O_522596"/>
      <w:bookmarkEnd w:id="7"/>
      <w:r w:rsidRPr="00AA7939">
        <w:t>Elements and Performance Criteria Pre-Content</w:t>
      </w:r>
    </w:p>
    <w:tbl>
      <w:tblPr>
        <w:tblW w:w="0" w:type="auto"/>
        <w:tblLayout w:type="fixed"/>
        <w:tblCellMar>
          <w:left w:w="62" w:type="dxa"/>
          <w:right w:w="62" w:type="dxa"/>
        </w:tblCellMar>
        <w:tblLook w:val="0000"/>
      </w:tblPr>
      <w:tblGrid>
        <w:gridCol w:w="2835"/>
        <w:gridCol w:w="5670"/>
      </w:tblGrid>
      <w:tr w:rsidTr="00B31E15">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t>Perfor</w:t>
            </w:r>
            <w:r w:rsidRPr="00AA7939">
              <w:t>mance criteria describe the performance needed to demonstrate achievement of the element. Where bold italicised text is used, further information is detailed in the required skills and knowledge section and the range statement. Assessment of performance is</w:t>
            </w:r>
            <w:r w:rsidRPr="00AA7939">
              <w:t xml:space="preserve"> to be consistent with the evidence guide.</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8" w:name="O_522595"/>
      <w:bookmarkEnd w:id="8"/>
      <w:r w:rsidRPr="00AA7939">
        <w:t>Elements and Performance Criteria</w:t>
      </w:r>
    </w:p>
    <w:tbl>
      <w:tblPr>
        <w:tblW w:w="0" w:type="auto"/>
        <w:tblLayout w:type="fixed"/>
        <w:tblCellMar>
          <w:left w:w="62" w:type="dxa"/>
          <w:right w:w="62" w:type="dxa"/>
        </w:tblCellMar>
        <w:tblLook w:val="0000"/>
      </w:tblPr>
      <w:tblGrid>
        <w:gridCol w:w="2835"/>
        <w:gridCol w:w="5670"/>
      </w:tblGrid>
      <w:tr w:rsidTr="00B31E15">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A7939" w:rsidP="00AA7939">
            <w:pPr>
              <w:pStyle w:val="BodyText"/>
            </w:pPr>
            <w:r w:rsidRPr="00AA7939">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A7939">
            <w:pPr>
              <w:pStyle w:val="BodyText"/>
              <w:rPr>
                <w:lang w:val="en-NZ"/>
              </w:rPr>
            </w:pPr>
            <w:r w:rsidRPr="00AA7939">
              <w:rPr>
                <w:rStyle w:val="SpecialBold"/>
              </w:rPr>
              <w:t xml:space="preserve">PERFORMANCE CRITERIA </w:t>
            </w:r>
          </w:p>
        </w:tc>
      </w:tr>
      <w:tr w:rsidTr="00B31E1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List"/>
              <w:rPr>
                <w:lang w:val="en-NZ"/>
              </w:rPr>
            </w:pPr>
            <w:r w:rsidRPr="00AA7939">
              <w:t>1.</w:t>
            </w:r>
            <w:r w:rsidRPr="00AA7939">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List2"/>
            </w:pPr>
            <w:r w:rsidRPr="00AA7939">
              <w:t>1.1.</w:t>
            </w:r>
            <w:r w:rsidRPr="00AA7939">
              <w:tab/>
            </w:r>
            <w:r w:rsidRPr="00AA7939">
              <w:rPr>
                <w:rStyle w:val="BoldandItalics"/>
              </w:rPr>
              <w:t>Procedures and information</w:t>
            </w:r>
            <w:r w:rsidRPr="00AA7939">
              <w:t xml:space="preserve"> relevant to the task are sourced and work requirements confirmed</w:t>
            </w:r>
          </w:p>
          <w:p w:rsidR="00000000" w:rsidRPr="00AA7939" w:rsidP="00AA7939">
            <w:pPr>
              <w:pStyle w:val="List2"/>
            </w:pPr>
            <w:r w:rsidRPr="00AA7939">
              <w:t>1.2.</w:t>
            </w:r>
            <w:r w:rsidRPr="00AA7939">
              <w:tab/>
            </w:r>
            <w:r w:rsidRPr="00AA7939">
              <w:rPr>
                <w:rStyle w:val="BoldandItalics"/>
              </w:rPr>
              <w:t>Workplace health and safety (WHS) requirements</w:t>
            </w:r>
            <w:r w:rsidRPr="00AA7939">
              <w:t xml:space="preserve"> and </w:t>
            </w:r>
            <w:r w:rsidRPr="00AA7939">
              <w:rPr>
                <w:rStyle w:val="BoldandItalics"/>
              </w:rPr>
              <w:t>appropriate precautions</w:t>
            </w:r>
            <w:r w:rsidRPr="00AA7939">
              <w:t xml:space="preserve"> are identified and applied</w:t>
            </w:r>
          </w:p>
          <w:p w:rsidR="00000000" w:rsidRPr="00AA7939" w:rsidP="00AA7939">
            <w:pPr>
              <w:pStyle w:val="List2"/>
            </w:pPr>
            <w:r w:rsidRPr="00AA7939">
              <w:t>1.3.</w:t>
            </w:r>
            <w:r w:rsidRPr="00AA7939">
              <w:tab/>
              <w:t>Methods for the specific work requirement are selected and prepared for</w:t>
            </w:r>
          </w:p>
          <w:p w:rsidR="00000000" w:rsidRPr="00AA7939" w:rsidP="00AA7939">
            <w:pPr>
              <w:pStyle w:val="List2"/>
            </w:pPr>
            <w:r w:rsidRPr="00AA7939">
              <w:t>1.4.</w:t>
            </w:r>
            <w:r w:rsidRPr="00AA7939">
              <w:tab/>
              <w:t xml:space="preserve">Tools and </w:t>
            </w:r>
            <w:r w:rsidRPr="00AA7939">
              <w:rPr>
                <w:rStyle w:val="BoldandItalics"/>
              </w:rPr>
              <w:t>testing equipment</w:t>
            </w:r>
            <w:r w:rsidRPr="00AA7939">
              <w:t xml:space="preserve"> necessary to conduct the work are asse</w:t>
            </w:r>
            <w:r w:rsidRPr="00AA7939">
              <w:t>mbled</w:t>
            </w:r>
          </w:p>
          <w:p w:rsidR="00000000" w:rsidP="00AA7939">
            <w:pPr>
              <w:pStyle w:val="List2"/>
              <w:rPr>
                <w:lang w:val="en-NZ"/>
              </w:rPr>
            </w:pPr>
            <w:r w:rsidRPr="00AA7939">
              <w:t>1.5.</w:t>
            </w:r>
            <w:r w:rsidRPr="00AA7939">
              <w:tab/>
              <w:t>Technical and/or calibration requirements for deactivating and reinitialising the power supply are established</w:t>
            </w:r>
          </w:p>
        </w:tc>
      </w:tr>
      <w:tr w:rsidTr="00B31E15">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List"/>
              <w:rPr>
                <w:lang w:val="en-NZ"/>
              </w:rPr>
            </w:pPr>
            <w:r w:rsidRPr="00AA7939">
              <w:t>2.</w:t>
            </w:r>
            <w:r w:rsidRPr="00AA7939">
              <w:tab/>
              <w:t>Deactivate power supply</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List2"/>
            </w:pPr>
            <w:r w:rsidRPr="00AA7939">
              <w:t>2.1.</w:t>
            </w:r>
            <w:r w:rsidRPr="00AA7939">
              <w:tab/>
              <w:t xml:space="preserve">Information relevant for deactivation is followed </w:t>
            </w:r>
          </w:p>
          <w:p w:rsidR="00000000" w:rsidRPr="00AA7939" w:rsidP="00AA7939">
            <w:pPr>
              <w:pStyle w:val="List2"/>
            </w:pPr>
            <w:r w:rsidRPr="00AA7939">
              <w:t>2.2.</w:t>
            </w:r>
            <w:r w:rsidRPr="00AA7939">
              <w:tab/>
              <w:t>Procedure to deactivate vehicle at main contr</w:t>
            </w:r>
            <w:r w:rsidRPr="00AA7939">
              <w:t>ol is followed to commence deactivation process</w:t>
            </w:r>
          </w:p>
          <w:p w:rsidR="00000000" w:rsidRPr="00AA7939" w:rsidP="00AA7939">
            <w:pPr>
              <w:pStyle w:val="List2"/>
            </w:pPr>
            <w:r w:rsidRPr="00AA7939">
              <w:t>2.3.</w:t>
            </w:r>
            <w:r w:rsidRPr="00AA7939">
              <w:tab/>
              <w:t xml:space="preserve">HV power supply connection is located and isolated according to manufacturer instructions, taking appropriate precautions to prevent electric shock to self and others </w:t>
            </w:r>
          </w:p>
          <w:p w:rsidR="00000000" w:rsidRPr="00AA7939" w:rsidP="00AA7939">
            <w:pPr>
              <w:pStyle w:val="List2"/>
            </w:pPr>
            <w:r w:rsidRPr="00AA7939">
              <w:t>2.4.</w:t>
            </w:r>
            <w:r w:rsidRPr="00AA7939">
              <w:tab/>
              <w:t>LV power supply is located and</w:t>
            </w:r>
            <w:r w:rsidRPr="00AA7939">
              <w:t xml:space="preserve"> disconnected according to manufacturer instructions and vehicle and workplace safety procedures</w:t>
            </w:r>
          </w:p>
          <w:p w:rsidR="00000000" w:rsidRPr="00AA7939" w:rsidP="00AA7939">
            <w:pPr>
              <w:pStyle w:val="List2"/>
            </w:pPr>
            <w:r w:rsidRPr="00AA7939">
              <w:t>2.5.</w:t>
            </w:r>
            <w:r w:rsidRPr="00AA7939">
              <w:tab/>
              <w:t>Vehicle is stabilised and checked for residual voltage in system</w:t>
            </w:r>
          </w:p>
          <w:p w:rsidR="00000000" w:rsidRPr="00AA7939" w:rsidP="00AA7939">
            <w:pPr>
              <w:pStyle w:val="List2"/>
            </w:pPr>
            <w:r w:rsidRPr="00AA7939">
              <w:t>2.6.</w:t>
            </w:r>
            <w:r w:rsidRPr="00AA7939">
              <w:tab/>
              <w:t>HV power supply connection is secured and retained to prevent re-fit by third party</w:t>
            </w:r>
          </w:p>
          <w:p w:rsidR="00000000" w:rsidP="00AA7939">
            <w:pPr>
              <w:pStyle w:val="List2"/>
              <w:rPr>
                <w:lang w:val="en-NZ"/>
              </w:rPr>
            </w:pPr>
            <w:r w:rsidRPr="00AA7939">
              <w:t>2.7.</w:t>
            </w:r>
            <w:r w:rsidRPr="00AA7939">
              <w:tab/>
              <w:t>Vehicle is identified with warning tags or sign to indicate potential hazards</w:t>
            </w:r>
          </w:p>
        </w:tc>
      </w:tr>
      <w:tr w:rsidTr="00B31E15">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List"/>
              <w:rPr>
                <w:lang w:val="en-NZ"/>
              </w:rPr>
            </w:pPr>
            <w:r w:rsidRPr="00AA7939">
              <w:t>3.</w:t>
            </w:r>
            <w:r w:rsidRPr="00AA7939">
              <w:tab/>
              <w:t>Reinitialise power supply</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List2"/>
            </w:pPr>
            <w:r w:rsidRPr="00AA7939">
              <w:t>3.1.</w:t>
            </w:r>
            <w:r w:rsidRPr="00AA7939">
              <w:tab/>
              <w:t>Information for reinitialising procedure is accessed and followed</w:t>
            </w:r>
          </w:p>
          <w:p w:rsidR="00000000" w:rsidRPr="00AA7939" w:rsidP="00AA7939">
            <w:pPr>
              <w:pStyle w:val="List2"/>
            </w:pPr>
            <w:r w:rsidRPr="00AA7939">
              <w:t>3.2.</w:t>
            </w:r>
            <w:r w:rsidRPr="00AA7939">
              <w:tab/>
              <w:t>LV and HV power supplies  are reconnected and activated</w:t>
            </w:r>
          </w:p>
          <w:p w:rsidR="00000000" w:rsidRPr="00AA7939" w:rsidP="00AA7939">
            <w:pPr>
              <w:pStyle w:val="List2"/>
            </w:pPr>
            <w:r w:rsidRPr="00AA7939">
              <w:t>3.3.</w:t>
            </w:r>
            <w:r w:rsidRPr="00AA7939">
              <w:tab/>
              <w:t>Techni</w:t>
            </w:r>
            <w:r w:rsidRPr="00AA7939">
              <w:t>cal and/or calibration requirements are established for reinitialising the power supply</w:t>
            </w:r>
          </w:p>
          <w:p w:rsidR="00000000" w:rsidRPr="00AA7939" w:rsidP="00AA7939">
            <w:pPr>
              <w:pStyle w:val="List2"/>
            </w:pPr>
            <w:r w:rsidRPr="00AA7939">
              <w:t>3.4.</w:t>
            </w:r>
            <w:r w:rsidRPr="00AA7939">
              <w:tab/>
              <w:t xml:space="preserve">Diagnostic and testing equipment is used to check and recalibrate </w:t>
            </w:r>
            <w:r w:rsidRPr="00AA7939">
              <w:rPr>
                <w:rStyle w:val="BoldandItalics"/>
              </w:rPr>
              <w:t>sub-systems</w:t>
            </w:r>
            <w:r w:rsidRPr="00AA7939">
              <w:t xml:space="preserve"> affected by deactivation process</w:t>
            </w:r>
          </w:p>
          <w:p w:rsidR="00000000" w:rsidRPr="00AA7939" w:rsidP="00AA7939">
            <w:pPr>
              <w:pStyle w:val="List2"/>
            </w:pPr>
            <w:r w:rsidRPr="00AA7939">
              <w:t>3.5.</w:t>
            </w:r>
            <w:r w:rsidRPr="00AA7939">
              <w:tab/>
              <w:t>Main power supply and sub-systems are checked f</w:t>
            </w:r>
            <w:r w:rsidRPr="00AA7939">
              <w:t>or correct operation upon reactivation</w:t>
            </w:r>
          </w:p>
          <w:p w:rsidR="00000000" w:rsidRPr="00AA7939" w:rsidP="00AA7939">
            <w:pPr>
              <w:pStyle w:val="List2"/>
            </w:pPr>
            <w:r w:rsidRPr="00AA7939">
              <w:t>3.6.</w:t>
            </w:r>
            <w:r w:rsidRPr="00AA7939">
              <w:tab/>
            </w:r>
            <w:r w:rsidRPr="00AA7939">
              <w:rPr>
                <w:rStyle w:val="BoldandItalics"/>
              </w:rPr>
              <w:t>Workplace requirements</w:t>
            </w:r>
            <w:r w:rsidRPr="00AA7939">
              <w:t xml:space="preserve"> are followed to report </w:t>
            </w:r>
            <w:r w:rsidRPr="00AA7939">
              <w:t>and record subsequent faults with the reinitialising process</w:t>
            </w:r>
          </w:p>
        </w:tc>
      </w:tr>
    </w:tbl>
    <w:p w:rsidR="00000000" w:rsidRPr="00AA7939" w:rsidP="00AA7939">
      <w:pPr>
        <w:pStyle w:val="List2"/>
      </w:pPr>
    </w:p>
    <w:p w:rsidR="00000000" w:rsidRPr="00AA7939" w:rsidP="00AA7939">
      <w:pPr>
        <w:pStyle w:val="AllowPageBreak"/>
      </w:pPr>
    </w:p>
    <w:p w:rsidR="00000000" w:rsidRPr="00AA7939" w:rsidP="00AA7939">
      <w:pPr>
        <w:pStyle w:val="Heading1"/>
      </w:pPr>
      <w:bookmarkStart w:id="9" w:name="O_522594"/>
      <w:bookmarkEnd w:id="9"/>
      <w:r w:rsidRPr="00AA7939">
        <w:t>Required Skills and Knowledge</w:t>
      </w:r>
    </w:p>
    <w:tbl>
      <w:tblPr>
        <w:tblW w:w="0" w:type="auto"/>
        <w:tblLayout w:type="fixed"/>
        <w:tblCellMar>
          <w:left w:w="62" w:type="dxa"/>
          <w:right w:w="62" w:type="dxa"/>
        </w:tblCellMar>
        <w:tblLook w:val="0000"/>
      </w:tblPr>
      <w:tblGrid>
        <w:gridCol w:w="8505"/>
      </w:tblGrid>
      <w:tr w:rsidTr="00B31E15">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t>This section describes the skills and knowledge required for this unit.</w:t>
            </w:r>
          </w:p>
        </w:tc>
      </w:tr>
      <w:tr w:rsidTr="00B31E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Required skills</w:t>
            </w:r>
          </w:p>
        </w:tc>
      </w:tr>
      <w:tr w:rsidTr="00B31E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ListBullet"/>
            </w:pPr>
            <w:r w:rsidRPr="00AA7939">
              <w:t>technical skills to:</w:t>
            </w:r>
          </w:p>
          <w:p w:rsidR="00000000" w:rsidRPr="00AA7939" w:rsidP="00AA7939">
            <w:pPr>
              <w:pStyle w:val="ListBullet2"/>
            </w:pPr>
            <w:r w:rsidRPr="00AA7939">
              <w:t>use workplace technology relating to the deactivating and reinitialising of LV and HV power supplies and components in HEVs</w:t>
            </w:r>
          </w:p>
          <w:p w:rsidR="00000000" w:rsidRPr="00AA7939" w:rsidP="00AA7939">
            <w:pPr>
              <w:pStyle w:val="ListBullet2"/>
            </w:pPr>
            <w:r w:rsidRPr="00AA7939">
              <w:t>use specialist tools and equipment</w:t>
            </w:r>
          </w:p>
          <w:p w:rsidR="00000000" w:rsidRPr="00AA7939" w:rsidP="00AA7939">
            <w:pPr>
              <w:pStyle w:val="ListBullet2"/>
            </w:pPr>
            <w:r w:rsidRPr="00AA7939">
              <w:t>use computerised measuring and diagnostic equipment</w:t>
            </w:r>
          </w:p>
          <w:p w:rsidR="00000000" w:rsidRPr="00AA7939" w:rsidP="00AA7939">
            <w:pPr>
              <w:pStyle w:val="ListBullet2"/>
            </w:pPr>
            <w:r w:rsidRPr="00AA7939">
              <w:t>report and record actions</w:t>
            </w:r>
          </w:p>
          <w:p w:rsidR="00000000" w:rsidRPr="00AA7939" w:rsidP="00AA7939">
            <w:pPr>
              <w:pStyle w:val="ListBullet"/>
            </w:pPr>
            <w:r w:rsidRPr="00AA7939">
              <w:t>communication skills to:</w:t>
            </w:r>
          </w:p>
          <w:p w:rsidR="00000000" w:rsidRPr="00AA7939" w:rsidP="00AA7939">
            <w:pPr>
              <w:pStyle w:val="ListBullet2"/>
            </w:pPr>
            <w:r w:rsidRPr="00AA7939">
              <w:t>confirm work requirements and specifications</w:t>
            </w:r>
          </w:p>
          <w:p w:rsidR="00000000" w:rsidRPr="00AA7939" w:rsidP="00AA7939">
            <w:pPr>
              <w:pStyle w:val="ListBullet2"/>
            </w:pPr>
            <w:r w:rsidRPr="00AA7939">
              <w:t>communicate effectively regarding work requirements with supervisor, ot</w:t>
            </w:r>
            <w:r w:rsidRPr="00AA7939">
              <w:t>her workers and customers</w:t>
            </w:r>
          </w:p>
          <w:p w:rsidR="00000000" w:rsidRPr="00AA7939" w:rsidP="00AA7939">
            <w:pPr>
              <w:pStyle w:val="ListBullet2"/>
            </w:pPr>
            <w:r w:rsidRPr="00AA7939">
              <w:t>report work outcomes and problems</w:t>
            </w:r>
          </w:p>
          <w:p w:rsidR="00000000" w:rsidRPr="00AA7939" w:rsidP="00AA7939">
            <w:pPr>
              <w:pStyle w:val="ListBullet"/>
            </w:pPr>
            <w:r w:rsidRPr="00AA7939">
              <w:t>literacy skills to interpret technical information and specifications</w:t>
            </w:r>
          </w:p>
          <w:p w:rsidR="00000000" w:rsidRPr="00AA7939" w:rsidP="00AA7939">
            <w:pPr>
              <w:pStyle w:val="ListBullet"/>
            </w:pPr>
            <w:r w:rsidRPr="00AA7939">
              <w:t>numeracy skills to complete tests and measurements to determine correct operation</w:t>
            </w:r>
          </w:p>
          <w:p w:rsidR="00000000" w:rsidRPr="00AA7939" w:rsidP="00AA7939">
            <w:pPr>
              <w:pStyle w:val="ListBullet"/>
            </w:pPr>
            <w:r w:rsidRPr="00AA7939">
              <w:t>problem-solving skills to:</w:t>
            </w:r>
          </w:p>
          <w:p w:rsidR="00000000" w:rsidRPr="00AA7939" w:rsidP="00AA7939">
            <w:pPr>
              <w:pStyle w:val="ListBullet2"/>
            </w:pPr>
            <w:r w:rsidRPr="00AA7939">
              <w:t xml:space="preserve">interpret test </w:t>
            </w:r>
            <w:r w:rsidRPr="00AA7939">
              <w:t>results</w:t>
            </w:r>
          </w:p>
          <w:p w:rsidR="00000000" w:rsidRPr="00AA7939" w:rsidP="00AA7939">
            <w:pPr>
              <w:pStyle w:val="ListBullet2"/>
            </w:pPr>
            <w:r w:rsidRPr="00AA7939">
              <w:t>identify repair options</w:t>
            </w:r>
          </w:p>
          <w:p w:rsidR="00000000" w:rsidRPr="00AA7939" w:rsidP="00AA7939">
            <w:pPr>
              <w:pStyle w:val="ListBullet"/>
            </w:pPr>
            <w:r w:rsidRPr="00AA7939">
              <w:t>self-management skills to:</w:t>
            </w:r>
          </w:p>
          <w:p w:rsidR="00000000" w:rsidRPr="00AA7939" w:rsidP="00AA7939">
            <w:pPr>
              <w:pStyle w:val="ListBullet2"/>
            </w:pPr>
            <w:r w:rsidRPr="00AA7939">
              <w:t>manage risks and hazards associated with LV and HV HEV electrical systems and components</w:t>
            </w:r>
          </w:p>
          <w:p w:rsidR="00000000" w:rsidP="00AA7939">
            <w:pPr>
              <w:pStyle w:val="ListBullet2"/>
              <w:rPr>
                <w:lang w:val="en-NZ"/>
              </w:rPr>
            </w:pPr>
            <w:r w:rsidRPr="00AA7939">
              <w:t>optimise workflow and productivity</w:t>
            </w:r>
          </w:p>
        </w:tc>
      </w:tr>
      <w:tr w:rsidTr="00B31E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Required knowledge</w:t>
            </w:r>
          </w:p>
        </w:tc>
      </w:tr>
      <w:tr w:rsidTr="00B31E15">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ListBullet"/>
            </w:pPr>
            <w:r w:rsidRPr="00AA7939">
              <w:t>components of LV and HV HEVs and their functions</w:t>
            </w:r>
          </w:p>
          <w:p w:rsidR="00000000" w:rsidRPr="00AA7939" w:rsidP="00AA7939">
            <w:pPr>
              <w:pStyle w:val="ListBullet"/>
            </w:pPr>
            <w:r w:rsidRPr="00AA7939">
              <w:t>relevant WHS requirements relating to:</w:t>
            </w:r>
          </w:p>
          <w:p w:rsidR="00000000" w:rsidRPr="00AA7939" w:rsidP="00AA7939">
            <w:pPr>
              <w:pStyle w:val="ListBullet2"/>
            </w:pPr>
            <w:r w:rsidRPr="00AA7939">
              <w:t>safe work practices</w:t>
            </w:r>
          </w:p>
          <w:p w:rsidR="00000000" w:rsidRPr="00AA7939" w:rsidP="00AA7939">
            <w:pPr>
              <w:pStyle w:val="ListBullet2"/>
            </w:pPr>
            <w:r w:rsidRPr="00AA7939">
              <w:t>electrical safety</w:t>
            </w:r>
          </w:p>
          <w:p w:rsidR="00000000" w:rsidRPr="00AA7939" w:rsidP="00AA7939">
            <w:pPr>
              <w:pStyle w:val="ListBullet"/>
            </w:pPr>
            <w:r w:rsidRPr="00AA7939">
              <w:t>principles of electricity, including AC and DC</w:t>
            </w:r>
          </w:p>
          <w:p w:rsidR="00000000" w:rsidRPr="00AA7939" w:rsidP="00AA7939">
            <w:pPr>
              <w:pStyle w:val="ListBullet"/>
            </w:pPr>
            <w:r w:rsidRPr="00AA7939">
              <w:t>applicable commonwealth, state or territory legislation, regulations, standards and codes of practice and environmental regulations relating to deactivating and reinitialising HEV power supplies in the automotive workplace</w:t>
            </w:r>
          </w:p>
          <w:p w:rsidR="00000000" w:rsidRPr="00AA7939" w:rsidP="00AA7939">
            <w:pPr>
              <w:pStyle w:val="ListBullet"/>
            </w:pPr>
            <w:r w:rsidRPr="00AA7939">
              <w:t>vehicle-specific electrical requi</w:t>
            </w:r>
            <w:r w:rsidRPr="00AA7939">
              <w:t>rements</w:t>
            </w:r>
          </w:p>
          <w:p w:rsidR="00000000" w:rsidRPr="00AA7939" w:rsidP="00AA7939">
            <w:pPr>
              <w:pStyle w:val="ListBullet"/>
            </w:pPr>
            <w:r w:rsidRPr="00AA7939">
              <w:t>workplace policies and procedures, including quality, recording and reporting procedures relating to deactivating and reinitialising HEV power supplies in the automotive workplace</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10" w:name="O_522593"/>
      <w:bookmarkEnd w:id="10"/>
      <w:r w:rsidRPr="00AA7939">
        <w:t>Evidence Guide</w:t>
      </w:r>
    </w:p>
    <w:tbl>
      <w:tblPr>
        <w:tblW w:w="0" w:type="auto"/>
        <w:tblLayout w:type="fixed"/>
        <w:tblCellMar>
          <w:left w:w="62" w:type="dxa"/>
          <w:right w:w="62" w:type="dxa"/>
        </w:tblCellMar>
        <w:tblLook w:val="0000"/>
      </w:tblPr>
      <w:tblGrid>
        <w:gridCol w:w="2835"/>
        <w:gridCol w:w="5670"/>
      </w:tblGrid>
      <w:tr w:rsidTr="00B31E15">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Evidence Guide</w:t>
            </w:r>
          </w:p>
        </w:tc>
      </w:tr>
      <w:tr w:rsidTr="00B31E15">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t>The evidence guide provides advice on assessment and must be read in conjunction with the performance criteria, required skills and knowledge, range statement and the Assessment Guidelines for the Training Package.</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p>
        </w:tc>
      </w:tr>
      <w:tr w:rsidTr="00B31E15">
        <w:tblPrEx>
          <w:tblW w:w="0" w:type="auto"/>
          <w:tblLayout w:type="fixed"/>
          <w:tblCellMar>
            <w:left w:w="62" w:type="dxa"/>
            <w:right w:w="62" w:type="dxa"/>
          </w:tblCellMar>
          <w:tblLook w:val="0000"/>
        </w:tblPrEx>
        <w:trPr>
          <w:trHeight w:val="450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t>The evidence required to demonstrate competency in this unit must be relevant to workplace operations and satisfy all of the requirements of the performance criter</w:t>
            </w:r>
            <w:r w:rsidRPr="00AA7939">
              <w:t>ia and required skills and knowledge.</w:t>
            </w:r>
          </w:p>
          <w:p w:rsidR="00000000" w:rsidRPr="00AA7939" w:rsidP="00AA7939">
            <w:pPr>
              <w:pStyle w:val="BodyText"/>
            </w:pPr>
            <w:r w:rsidRPr="00AA7939">
              <w:t>A person who demonstrates competency in this unit must be able to:</w:t>
            </w:r>
          </w:p>
          <w:p w:rsidR="00000000" w:rsidRPr="00AA7939" w:rsidP="00AA7939">
            <w:pPr>
              <w:pStyle w:val="ListBullet"/>
            </w:pPr>
            <w:r w:rsidRPr="00AA7939">
              <w:t>comply with WHS requirements and safe work practices</w:t>
            </w:r>
          </w:p>
          <w:p w:rsidR="00000000" w:rsidRPr="00AA7939" w:rsidP="00AA7939">
            <w:pPr>
              <w:pStyle w:val="ListBullet"/>
            </w:pPr>
            <w:r w:rsidRPr="00AA7939">
              <w:t>ensure electrical and mechanical integrity of components and system is maintained when performing</w:t>
            </w:r>
            <w:r w:rsidRPr="00AA7939">
              <w:t xml:space="preserve"> tests</w:t>
            </w:r>
          </w:p>
          <w:p w:rsidR="00000000" w:rsidRPr="00AA7939" w:rsidP="00AA7939">
            <w:pPr>
              <w:pStyle w:val="ListBullet"/>
            </w:pPr>
            <w:r w:rsidRPr="00AA7939">
              <w:t>check that the deactivation and reinitialisation process is followed and applied according to manufacturer specifications</w:t>
            </w:r>
          </w:p>
          <w:p w:rsidR="00000000" w:rsidP="00AA7939">
            <w:pPr>
              <w:pStyle w:val="ListBullet"/>
              <w:rPr>
                <w:lang w:val="en-NZ"/>
              </w:rPr>
            </w:pPr>
            <w:r w:rsidRPr="00AA7939">
              <w:t>complete relevant documentation for diagnosed faults encountered when deactivating and reinitialising the HEV power supply.</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Co</w:t>
            </w:r>
            <w:r w:rsidRPr="00AA7939">
              <w:rPr>
                <w:rStyle w:val="SpecialBold"/>
              </w:rPr>
              <w:t>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t xml:space="preserve">Competency is to be assessed in the workplace or a simulated workplace environment that accurately reflects performance in a real workplace setting. </w:t>
            </w:r>
          </w:p>
          <w:p w:rsidR="00000000" w:rsidRPr="00AA7939" w:rsidP="00AA7939">
            <w:pPr>
              <w:pStyle w:val="BodyText"/>
            </w:pPr>
            <w:r w:rsidRPr="00AA7939">
              <w:t>Assessment is to occur:</w:t>
            </w:r>
          </w:p>
          <w:p w:rsidR="00000000" w:rsidRPr="00AA7939" w:rsidP="00AA7939">
            <w:pPr>
              <w:pStyle w:val="ListBullet"/>
            </w:pPr>
            <w:r w:rsidRPr="00AA7939">
              <w:t>using standard workplace practices and procedures</w:t>
            </w:r>
          </w:p>
          <w:p w:rsidR="00000000" w:rsidRPr="00AA7939" w:rsidP="00AA7939">
            <w:pPr>
              <w:pStyle w:val="ListBullet"/>
            </w:pPr>
            <w:r w:rsidRPr="00AA7939">
              <w:t>following safety requirements</w:t>
            </w:r>
          </w:p>
          <w:p w:rsidR="00000000" w:rsidRPr="00AA7939" w:rsidP="00AA7939">
            <w:pPr>
              <w:pStyle w:val="ListBullet"/>
            </w:pPr>
            <w:r w:rsidRPr="00AA7939">
              <w:t>applying environmental constraints.</w:t>
            </w:r>
          </w:p>
          <w:p w:rsidR="00000000" w:rsidRPr="00AA7939" w:rsidP="00AA7939">
            <w:pPr>
              <w:pStyle w:val="BodyText"/>
            </w:pPr>
            <w:r w:rsidRPr="00AA7939">
              <w:t>Assessment is to comply with relevant:</w:t>
            </w:r>
          </w:p>
          <w:p w:rsidR="00000000" w:rsidRPr="00AA7939" w:rsidP="00AA7939">
            <w:pPr>
              <w:pStyle w:val="ListBullet"/>
            </w:pPr>
            <w:r w:rsidRPr="00AA7939">
              <w:t>regulatory requirements</w:t>
            </w:r>
          </w:p>
          <w:p w:rsidR="00000000" w:rsidRPr="00AA7939" w:rsidP="00AA7939">
            <w:pPr>
              <w:pStyle w:val="ListBullet"/>
            </w:pPr>
            <w:r w:rsidRPr="00AA7939">
              <w:t>Australian standards</w:t>
            </w:r>
          </w:p>
          <w:p w:rsidR="00000000" w:rsidRPr="00AA7939" w:rsidP="00AA7939">
            <w:pPr>
              <w:pStyle w:val="ListBullet"/>
            </w:pPr>
            <w:r w:rsidRPr="00AA7939">
              <w:t>industry codes of practice.</w:t>
            </w:r>
          </w:p>
          <w:p w:rsidR="00000000" w:rsidRPr="00AA7939" w:rsidP="00AA7939">
            <w:pPr>
              <w:pStyle w:val="BodyText"/>
            </w:pPr>
            <w:r w:rsidRPr="00AA7939">
              <w:t>Competency is to be assesse</w:t>
            </w:r>
            <w:r w:rsidRPr="00AA7939">
              <w:t>d using an HEV that uses HV and LV AC/DC electrical systems. Where simulation is used, an operational HEV must be included in the simulation.</w:t>
            </w:r>
          </w:p>
          <w:p w:rsidR="00000000" w:rsidRPr="00AA7939" w:rsidP="00AA7939">
            <w:pPr>
              <w:pStyle w:val="BodyText"/>
            </w:pPr>
            <w:r w:rsidRPr="00AA7939">
              <w:t xml:space="preserve">The following resources must be made available for the assessment of this unit: </w:t>
            </w:r>
          </w:p>
          <w:p w:rsidR="00000000" w:rsidRPr="00AA7939" w:rsidP="00AA7939">
            <w:pPr>
              <w:pStyle w:val="ListBullet"/>
            </w:pPr>
            <w:r w:rsidRPr="00AA7939">
              <w:t>appropriate PPE</w:t>
            </w:r>
          </w:p>
          <w:p w:rsidR="00000000" w:rsidRPr="00AA7939" w:rsidP="00AA7939">
            <w:pPr>
              <w:pStyle w:val="ListBullet"/>
            </w:pPr>
            <w:r w:rsidRPr="00AA7939">
              <w:t>an HEV</w:t>
            </w:r>
          </w:p>
          <w:p w:rsidR="00000000" w:rsidRPr="00AA7939" w:rsidP="00AA7939">
            <w:pPr>
              <w:pStyle w:val="ListBullet"/>
            </w:pPr>
            <w:r w:rsidRPr="00AA7939">
              <w:t>manufactu</w:t>
            </w:r>
            <w:r w:rsidRPr="00AA7939">
              <w:t>rer specifications for the HEV</w:t>
            </w:r>
          </w:p>
          <w:p w:rsidR="00000000" w:rsidRPr="00AA7939" w:rsidP="00AA7939">
            <w:pPr>
              <w:pStyle w:val="ListBullet"/>
            </w:pPr>
            <w:r w:rsidRPr="00AA7939">
              <w:t>testing equipment</w:t>
            </w:r>
          </w:p>
          <w:p w:rsidR="00000000" w:rsidRPr="00AA7939" w:rsidP="00AA7939">
            <w:pPr>
              <w:pStyle w:val="ListBullet"/>
            </w:pPr>
            <w:r w:rsidRPr="00AA7939">
              <w:t xml:space="preserve">full range of essential tools and equipment </w:t>
            </w:r>
          </w:p>
          <w:p w:rsidR="00000000" w:rsidP="00AA7939">
            <w:pPr>
              <w:pStyle w:val="ListBullet"/>
              <w:rPr>
                <w:lang w:val="en-NZ"/>
              </w:rPr>
            </w:pPr>
            <w:r w:rsidRPr="00AA7939">
              <w:t>workplace documentation.</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BodyText"/>
            </w:pPr>
            <w:r w:rsidRPr="00AA7939">
              <w:t>Assessment must satisfy the endorsed Assessment Guidelines of this Training Package.</w:t>
            </w:r>
          </w:p>
          <w:p w:rsidR="00000000" w:rsidRPr="00AA7939" w:rsidP="00AA7939">
            <w:pPr>
              <w:pStyle w:val="BodyText"/>
            </w:pPr>
            <w:r w:rsidRPr="00AA7939">
              <w:t>Assessment methods must confirm consistency and accuracy of performance (over time and in a range of workplace relevant contexts) together with the application of required skills and knowledge.</w:t>
            </w:r>
          </w:p>
          <w:p w:rsidR="00000000" w:rsidRPr="00AA7939" w:rsidP="00AA7939">
            <w:pPr>
              <w:pStyle w:val="BodyText"/>
            </w:pPr>
            <w:r w:rsidRPr="00AA7939">
              <w:t xml:space="preserve">Assessment methods must be by direct observation of tasks and </w:t>
            </w:r>
            <w:r w:rsidRPr="00AA7939">
              <w:t>include questioning on required skills and knowledge to ensure correct interpretation and application.</w:t>
            </w:r>
          </w:p>
          <w:p w:rsidR="00000000" w:rsidRPr="00AA7939" w:rsidP="00AA7939">
            <w:pPr>
              <w:pStyle w:val="BodyText"/>
            </w:pPr>
            <w:r w:rsidRPr="00AA7939">
              <w:t>Competence in this unit may be assessed in conjunction with other units which together form part of a holistic work role.</w:t>
            </w:r>
          </w:p>
          <w:p w:rsidR="00000000" w:rsidRPr="00AA7939" w:rsidP="00AA7939">
            <w:pPr>
              <w:pStyle w:val="BodyText"/>
            </w:pPr>
            <w:r w:rsidRPr="00AA7939">
              <w:t>Where applicable, reasonable ad</w:t>
            </w:r>
            <w:r w:rsidRPr="00AA7939">
              <w:t>justment must be made to work environments and training situations to accommodate the needs of diverse clients.</w:t>
            </w:r>
          </w:p>
          <w:p w:rsidR="00000000" w:rsidRPr="00AA7939" w:rsidP="00AA7939">
            <w:pPr>
              <w:pStyle w:val="BodyText"/>
            </w:pPr>
            <w:r w:rsidRPr="00AA7939">
              <w:t>Assessment processes and techniques must be culturally sensitive and appropriate to the language, literacy and numeracy capacity of the candidat</w:t>
            </w:r>
            <w:r w:rsidRPr="00AA7939">
              <w:t>e and the work being performed.</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11" w:name="O_522592"/>
      <w:bookmarkEnd w:id="11"/>
      <w:r w:rsidRPr="00AA7939">
        <w:t>Range Statement</w:t>
      </w:r>
    </w:p>
    <w:tbl>
      <w:tblPr>
        <w:tblW w:w="0" w:type="auto"/>
        <w:tblLayout w:type="fixed"/>
        <w:tblCellMar>
          <w:left w:w="62" w:type="dxa"/>
          <w:right w:w="62" w:type="dxa"/>
        </w:tblCellMar>
        <w:tblLook w:val="0000"/>
      </w:tblPr>
      <w:tblGrid>
        <w:gridCol w:w="2835"/>
        <w:gridCol w:w="5670"/>
      </w:tblGrid>
      <w:tr w:rsidTr="00B31E15">
        <w:tblPrEx>
          <w:tblW w:w="0" w:type="auto"/>
          <w:tblLayout w:type="fixed"/>
          <w:tblCellMar>
            <w:left w:w="62" w:type="dxa"/>
            <w:right w:w="62" w:type="dxa"/>
          </w:tblCellMar>
          <w:tblLook w:val="0000"/>
        </w:tblPrEx>
        <w:trPr>
          <w:trHeight w:val="195"/>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SpecialBold"/>
              </w:rPr>
              <w:t>Range Statement</w:t>
            </w:r>
          </w:p>
        </w:tc>
      </w:tr>
      <w:tr w:rsidTr="00B31E15">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t>The range statement relates to the unit of competency as a whole.  It allows for different work environments and situations that may affect performance.  Bold italicised w</w:t>
            </w:r>
            <w:r w:rsidRPr="00AA7939">
              <w:t>ording, in the performance criteria, is detailed below.  Essential operating conditions that may be present with training and assessment (depending on the work situation, needs of the candidate, accessibility of the item, and local industry and regional co</w:t>
            </w:r>
            <w:r w:rsidRPr="00AA7939">
              <w:t>ntexts) may also be included.</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Procedures and information</w:t>
            </w:r>
            <w:r w:rsidRPr="00AA793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Australian standards</w:t>
            </w:r>
          </w:p>
          <w:p w:rsidR="00000000" w:rsidRPr="00AA7939" w:rsidP="00AA7939">
            <w:pPr>
              <w:pStyle w:val="ListBullet"/>
            </w:pPr>
            <w:r w:rsidRPr="00AA7939">
              <w:t>diagrams and sketches</w:t>
            </w:r>
          </w:p>
          <w:p w:rsidR="00000000" w:rsidRPr="00AA7939" w:rsidP="00AA7939">
            <w:pPr>
              <w:pStyle w:val="ListBullet"/>
            </w:pPr>
            <w:r w:rsidRPr="00AA7939">
              <w:t>engineer design specifications and instructions</w:t>
            </w:r>
          </w:p>
          <w:p w:rsidR="00000000" w:rsidRPr="00AA7939" w:rsidP="00AA7939">
            <w:pPr>
              <w:pStyle w:val="ListBullet"/>
            </w:pPr>
            <w:r w:rsidRPr="00AA7939">
              <w:t>industry codes of practice</w:t>
            </w:r>
          </w:p>
          <w:p w:rsidR="00000000" w:rsidRPr="00AA7939" w:rsidP="00AA7939">
            <w:pPr>
              <w:pStyle w:val="ListBullet"/>
            </w:pPr>
            <w:r w:rsidRPr="00AA7939">
              <w:t>original equipment manufacturer (OEM) specifications</w:t>
            </w:r>
          </w:p>
          <w:p w:rsidR="00000000" w:rsidRPr="00AA7939" w:rsidP="00AA7939">
            <w:pPr>
              <w:pStyle w:val="ListBullet"/>
            </w:pPr>
            <w:r w:rsidRPr="00AA7939">
              <w:t>verbal, written and graphical instructions issued by authorised internal and external persons</w:t>
            </w:r>
          </w:p>
          <w:p w:rsidR="00000000" w:rsidP="00AA7939">
            <w:pPr>
              <w:pStyle w:val="ListBullet"/>
              <w:rPr>
                <w:lang w:val="en-NZ"/>
              </w:rPr>
            </w:pPr>
            <w:r w:rsidRPr="00AA7939">
              <w:t>workplace specifications and requirements.</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WHS requirements</w:t>
            </w:r>
            <w:r w:rsidRPr="00AA793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eliminating of hazardous materials and substances</w:t>
            </w:r>
          </w:p>
          <w:p w:rsidR="00000000" w:rsidRPr="00AA7939" w:rsidP="00AA7939">
            <w:pPr>
              <w:pStyle w:val="ListBullet"/>
            </w:pPr>
            <w:r w:rsidRPr="00AA7939">
              <w:t>first aid equipment</w:t>
            </w:r>
          </w:p>
          <w:p w:rsidR="00000000" w:rsidRPr="00AA7939" w:rsidP="00AA7939">
            <w:pPr>
              <w:pStyle w:val="ListBullet"/>
            </w:pPr>
            <w:r w:rsidRPr="00AA7939">
              <w:t>following emergency procedures</w:t>
            </w:r>
          </w:p>
          <w:p w:rsidR="00000000" w:rsidRPr="00AA7939" w:rsidP="00AA7939">
            <w:pPr>
              <w:pStyle w:val="ListBullet"/>
            </w:pPr>
            <w:r w:rsidRPr="00AA7939">
              <w:t>hazard and risk control</w:t>
            </w:r>
          </w:p>
          <w:p w:rsidR="00000000" w:rsidRPr="00AA7939" w:rsidP="00AA7939">
            <w:pPr>
              <w:pStyle w:val="ListBullet"/>
            </w:pPr>
            <w:r w:rsidRPr="00AA7939">
              <w:t>material safety data sheets (MSDS)</w:t>
            </w:r>
          </w:p>
          <w:p w:rsidR="00000000" w:rsidRPr="00AA7939" w:rsidP="00AA7939">
            <w:pPr>
              <w:pStyle w:val="ListBullet"/>
            </w:pPr>
            <w:r w:rsidRPr="00AA7939">
              <w:t>personal protective equipment (PPE) and clothing</w:t>
            </w:r>
          </w:p>
          <w:p w:rsidR="00000000" w:rsidRPr="00AA7939" w:rsidP="00AA7939">
            <w:pPr>
              <w:pStyle w:val="ListBullet"/>
            </w:pPr>
            <w:r w:rsidRPr="00AA7939">
              <w:t>safety equipment</w:t>
            </w:r>
          </w:p>
          <w:p w:rsidR="00000000" w:rsidP="00AA7939">
            <w:pPr>
              <w:pStyle w:val="ListBullet"/>
              <w:rPr>
                <w:lang w:val="en-NZ"/>
              </w:rPr>
            </w:pPr>
            <w:r w:rsidRPr="00AA7939">
              <w:t>techniques for manual handling, including shifting, lifting and carrying.</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Appropriate precautions</w:t>
            </w:r>
            <w:r w:rsidRPr="00AA7939">
              <w:t xml:space="preserve"> m</w:t>
            </w:r>
            <w:r w:rsidRPr="00AA7939">
              <w:t>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analysing task to define risk</w:t>
            </w:r>
          </w:p>
          <w:p w:rsidR="00000000" w:rsidRPr="00AA7939" w:rsidP="00AA7939">
            <w:pPr>
              <w:pStyle w:val="ListBullet"/>
            </w:pPr>
            <w:r w:rsidRPr="00AA7939">
              <w:t>applying electrical safety precautions, such as:</w:t>
            </w:r>
          </w:p>
          <w:p w:rsidR="00000000" w:rsidRPr="00AA7939" w:rsidP="00AA7939">
            <w:pPr>
              <w:pStyle w:val="ListBullet2"/>
            </w:pPr>
            <w:r w:rsidRPr="00AA7939">
              <w:t>“one hand rule”</w:t>
            </w:r>
          </w:p>
          <w:p w:rsidR="00000000" w:rsidRPr="00AA7939" w:rsidP="00AA7939">
            <w:pPr>
              <w:pStyle w:val="ListBullet2"/>
            </w:pPr>
            <w:r w:rsidRPr="00AA7939">
              <w:t xml:space="preserve">live system warning tags or signs </w:t>
            </w:r>
          </w:p>
          <w:p w:rsidR="00000000" w:rsidRPr="00AA7939" w:rsidP="00AA7939">
            <w:pPr>
              <w:pStyle w:val="ListBullet"/>
            </w:pPr>
            <w:r w:rsidRPr="00AA7939">
              <w:t>isolating the LV and HV battery electrical supply</w:t>
            </w:r>
          </w:p>
          <w:p w:rsidR="00000000" w:rsidRPr="00AA7939" w:rsidP="00AA7939">
            <w:pPr>
              <w:pStyle w:val="ListBullet"/>
            </w:pPr>
            <w:r w:rsidRPr="00AA7939">
              <w:t>stabilising the vehicle electrical circuits</w:t>
            </w:r>
          </w:p>
          <w:p w:rsidR="00000000" w:rsidRPr="00AA7939" w:rsidP="00AA7939">
            <w:pPr>
              <w:pStyle w:val="ListBullet"/>
            </w:pPr>
            <w:r w:rsidRPr="00AA7939">
              <w:t xml:space="preserve">using PPE, such as: </w:t>
            </w:r>
          </w:p>
          <w:p w:rsidR="00000000" w:rsidRPr="00AA7939" w:rsidP="00AA7939">
            <w:pPr>
              <w:pStyle w:val="ListBullet2"/>
            </w:pPr>
            <w:r w:rsidRPr="00AA7939">
              <w:t>electrical safety gloves 1000V</w:t>
            </w:r>
          </w:p>
          <w:p w:rsidR="00000000" w:rsidP="00AA7939">
            <w:pPr>
              <w:pStyle w:val="ListBullet2"/>
              <w:rPr>
                <w:lang w:val="en-NZ"/>
              </w:rPr>
            </w:pPr>
            <w:r w:rsidRPr="00AA7939">
              <w:t>HV insulating mats (Australian standards rated).</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Testing equipment</w:t>
            </w:r>
            <w:r w:rsidRPr="00AA793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AC/DC current clamp</w:t>
            </w:r>
          </w:p>
          <w:p w:rsidR="00000000" w:rsidRPr="00AA7939" w:rsidP="00AA7939">
            <w:pPr>
              <w:pStyle w:val="ListBullet"/>
            </w:pPr>
            <w:r w:rsidRPr="00AA7939">
              <w:t>battery management system (BMS) diagnostic equipment</w:t>
            </w:r>
          </w:p>
          <w:p w:rsidR="00000000" w:rsidRPr="00AA7939" w:rsidP="00AA7939">
            <w:pPr>
              <w:pStyle w:val="ListBullet"/>
            </w:pPr>
            <w:r w:rsidRPr="00AA7939">
              <w:t>diagnostic scanner or computer interface device</w:t>
            </w:r>
          </w:p>
          <w:p w:rsidR="00000000" w:rsidRPr="00AA7939" w:rsidP="00AA7939">
            <w:pPr>
              <w:pStyle w:val="ListBullet"/>
            </w:pPr>
            <w:r w:rsidRPr="00AA7939">
              <w:t xml:space="preserve">insulated hand tools </w:t>
            </w:r>
          </w:p>
          <w:p w:rsidR="00000000" w:rsidRPr="00AA7939" w:rsidP="00AA7939">
            <w:pPr>
              <w:pStyle w:val="ListBullet"/>
            </w:pPr>
            <w:r w:rsidRPr="00AA7939">
              <w:t>multimeter CAT 3 1000V</w:t>
            </w:r>
          </w:p>
          <w:p w:rsidR="00000000" w:rsidRPr="00AA7939" w:rsidP="00AA7939">
            <w:pPr>
              <w:pStyle w:val="ListBullet"/>
            </w:pPr>
            <w:r w:rsidRPr="00AA7939">
              <w:t>oscilloscope</w:t>
            </w:r>
          </w:p>
          <w:p w:rsidR="00000000" w:rsidP="00AA7939">
            <w:pPr>
              <w:pStyle w:val="ListBullet"/>
              <w:rPr>
                <w:lang w:val="en-NZ"/>
              </w:rPr>
            </w:pPr>
            <w:r w:rsidRPr="00AA7939">
              <w:t>thermal imaging equipment or non-contact thermometer.</w:t>
            </w:r>
          </w:p>
        </w:tc>
      </w:tr>
      <w:tr w:rsidTr="00B31E15">
        <w:tblPrEx>
          <w:tblW w:w="0" w:type="auto"/>
          <w:tblLayout w:type="fixed"/>
          <w:tblCellMar>
            <w:left w:w="62" w:type="dxa"/>
            <w:right w:w="62" w:type="dxa"/>
          </w:tblCellMar>
          <w:tblLook w:val="0000"/>
        </w:tblPrEx>
        <w:trPr>
          <w:trHeight w:val="2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 xml:space="preserve">Sub-systems </w:t>
            </w:r>
            <w:r w:rsidRPr="00AA7939">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air conditioning control system</w:t>
            </w:r>
          </w:p>
          <w:p w:rsidR="00000000" w:rsidRPr="00AA7939" w:rsidP="00AA7939">
            <w:pPr>
              <w:pStyle w:val="ListBullet"/>
            </w:pPr>
            <w:r w:rsidRPr="00AA7939">
              <w:t>anti-lock braking system (ABS) and traction control system (TCS)</w:t>
            </w:r>
          </w:p>
          <w:p w:rsidR="00000000" w:rsidRPr="00AA7939" w:rsidP="00AA7939">
            <w:pPr>
              <w:pStyle w:val="ListBullet"/>
            </w:pPr>
            <w:r w:rsidRPr="00AA7939">
              <w:t>automatic power wind</w:t>
            </w:r>
            <w:r w:rsidRPr="00AA7939">
              <w:t>ows</w:t>
            </w:r>
          </w:p>
          <w:p w:rsidR="00000000" w:rsidRPr="00AA7939" w:rsidP="00AA7939">
            <w:pPr>
              <w:pStyle w:val="ListBullet"/>
            </w:pPr>
            <w:r w:rsidRPr="00AA7939">
              <w:t xml:space="preserve">automatic transmission </w:t>
            </w:r>
          </w:p>
          <w:p w:rsidR="00000000" w:rsidRPr="00AA7939" w:rsidP="00AA7939">
            <w:pPr>
              <w:pStyle w:val="ListBullet"/>
            </w:pPr>
            <w:r w:rsidRPr="00AA7939">
              <w:t>auxiliary cooling system for the internal combustion engine (ICE) and HV system</w:t>
            </w:r>
          </w:p>
          <w:p w:rsidR="00000000" w:rsidRPr="00AA7939" w:rsidP="00AA7939">
            <w:pPr>
              <w:pStyle w:val="ListBullet"/>
            </w:pPr>
            <w:r w:rsidRPr="00AA7939">
              <w:t xml:space="preserve">driver information warning display </w:t>
            </w:r>
          </w:p>
          <w:p w:rsidR="00000000" w:rsidRPr="00AA7939" w:rsidP="00AA7939">
            <w:pPr>
              <w:pStyle w:val="ListBullet"/>
            </w:pPr>
            <w:r w:rsidRPr="00AA7939">
              <w:t>electric power steering (EPS)</w:t>
            </w:r>
          </w:p>
          <w:p w:rsidR="00000000" w:rsidRPr="00AA7939" w:rsidP="00AA7939">
            <w:pPr>
              <w:pStyle w:val="ListBullet"/>
            </w:pPr>
            <w:r w:rsidRPr="00AA7939">
              <w:t xml:space="preserve">electronic brake control system </w:t>
            </w:r>
          </w:p>
          <w:p w:rsidR="00000000" w:rsidRPr="00AA7939" w:rsidP="00AA7939">
            <w:pPr>
              <w:pStyle w:val="ListBullet"/>
            </w:pPr>
            <w:r w:rsidRPr="00AA7939">
              <w:t xml:space="preserve">electronic stability control </w:t>
            </w:r>
          </w:p>
          <w:p w:rsidR="00000000" w:rsidRPr="00AA7939" w:rsidP="00AA7939">
            <w:pPr>
              <w:pStyle w:val="ListBullet"/>
            </w:pPr>
            <w:r w:rsidRPr="00AA7939">
              <w:t>headlight aiming control system</w:t>
            </w:r>
          </w:p>
          <w:p w:rsidR="00000000" w:rsidRPr="00AA7939" w:rsidP="00AA7939">
            <w:pPr>
              <w:pStyle w:val="ListBullet"/>
            </w:pPr>
            <w:r w:rsidRPr="00AA7939">
              <w:t xml:space="preserve">ICE control management system </w:t>
            </w:r>
          </w:p>
          <w:p w:rsidR="00000000" w:rsidRPr="00AA7939" w:rsidP="00AA7939">
            <w:pPr>
              <w:pStyle w:val="ListBullet"/>
            </w:pPr>
            <w:r w:rsidRPr="00AA7939">
              <w:t>multi-function display units, including sat-nav systems</w:t>
            </w:r>
          </w:p>
          <w:p w:rsidR="00000000" w:rsidP="00AA7939">
            <w:pPr>
              <w:pStyle w:val="ListBullet"/>
              <w:rPr>
                <w:lang w:val="en-NZ"/>
              </w:rPr>
            </w:pPr>
            <w:r w:rsidRPr="00AA7939">
              <w:t>tyre pressure warning system (TPWS).</w:t>
            </w:r>
          </w:p>
        </w:tc>
      </w:tr>
      <w:tr w:rsidTr="00B31E1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939">
            <w:pPr>
              <w:pStyle w:val="BodyText"/>
              <w:rPr>
                <w:lang w:val="en-NZ"/>
              </w:rPr>
            </w:pPr>
            <w:r w:rsidRPr="00AA7939">
              <w:rPr>
                <w:rStyle w:val="BoldandItalics"/>
              </w:rPr>
              <w:t>Workplace requirements</w:t>
            </w:r>
            <w:r w:rsidRPr="00AA7939">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939" w:rsidP="00AA7939">
            <w:pPr>
              <w:pStyle w:val="ListBullet"/>
            </w:pPr>
            <w:r w:rsidRPr="00AA7939">
              <w:t>industry codes of practice</w:t>
            </w:r>
          </w:p>
          <w:p w:rsidR="00000000" w:rsidRPr="00AA7939" w:rsidP="00AA7939">
            <w:pPr>
              <w:pStyle w:val="ListBullet"/>
            </w:pPr>
            <w:r w:rsidRPr="00AA7939">
              <w:t>manufacturer specifications</w:t>
            </w:r>
          </w:p>
          <w:p w:rsidR="00000000" w:rsidRPr="00AA7939" w:rsidP="00AA7939">
            <w:pPr>
              <w:pStyle w:val="ListBullet"/>
            </w:pPr>
            <w:r w:rsidRPr="00AA7939">
              <w:t>quality</w:t>
            </w:r>
            <w:r w:rsidRPr="00AA7939">
              <w:t xml:space="preserve"> policies and procedures </w:t>
            </w:r>
          </w:p>
          <w:p w:rsidR="00000000" w:rsidRPr="00AA7939" w:rsidP="00AA7939">
            <w:pPr>
              <w:pStyle w:val="ListBullet"/>
            </w:pPr>
            <w:r w:rsidRPr="00AA7939">
              <w:t xml:space="preserve">safe work procedures </w:t>
            </w:r>
          </w:p>
          <w:p w:rsidR="00000000" w:rsidRPr="00AA7939" w:rsidP="00AA7939">
            <w:pPr>
              <w:pStyle w:val="ListBullet"/>
            </w:pPr>
            <w:r w:rsidRPr="00AA7939">
              <w:t xml:space="preserve">sustainability, environment, equal opportunity and anti-discrimination policies and procedures </w:t>
            </w:r>
          </w:p>
          <w:p w:rsidR="00000000" w:rsidRPr="00AA7939" w:rsidP="00AA7939">
            <w:pPr>
              <w:pStyle w:val="ListBullet"/>
            </w:pPr>
            <w:r w:rsidRPr="00AA7939">
              <w:t>workplace recording and reporting procedures.</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12" w:name="O_522591"/>
      <w:bookmarkEnd w:id="12"/>
      <w:r w:rsidRPr="00AA7939">
        <w:t>Unit Sector(s)</w:t>
      </w:r>
    </w:p>
    <w:tbl>
      <w:tblPr>
        <w:tblW w:w="0" w:type="auto"/>
        <w:tblLayout w:type="fixed"/>
        <w:tblCellMar>
          <w:left w:w="62" w:type="dxa"/>
          <w:right w:w="62" w:type="dxa"/>
        </w:tblCellMar>
        <w:tblLook w:val="0000"/>
      </w:tblPr>
      <w:tblGrid>
        <w:gridCol w:w="2835"/>
        <w:gridCol w:w="5670"/>
      </w:tblGrid>
      <w:tr w:rsidTr="00AA793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t>Electrical</w:t>
            </w:r>
          </w:p>
        </w:tc>
      </w:tr>
      <w:tr w:rsidTr="00AA793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939">
            <w:pPr>
              <w:pStyle w:val="BodyText"/>
              <w:rPr>
                <w:lang w:val="en-NZ"/>
              </w:rPr>
            </w:pPr>
            <w:r w:rsidRPr="00AA7939">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939" w:rsidP="00AA7939">
            <w:pPr>
              <w:pStyle w:val="BodyText"/>
            </w:pPr>
            <w:r w:rsidRPr="00AA7939">
              <w:t>Technical – Hybrid and Battery Electric Vehicle</w:t>
            </w:r>
          </w:p>
        </w:tc>
      </w:tr>
    </w:tbl>
    <w:p w:rsidR="00000000" w:rsidRPr="00AA7939" w:rsidP="00AA7939">
      <w:pPr>
        <w:pStyle w:val="BodyText"/>
      </w:pPr>
    </w:p>
    <w:p w:rsidR="00000000" w:rsidRPr="00AA7939" w:rsidP="00AA7939">
      <w:pPr>
        <w:pStyle w:val="AllowPageBreak"/>
      </w:pPr>
    </w:p>
    <w:p w:rsidR="00000000" w:rsidRPr="00AA7939" w:rsidP="00AA7939">
      <w:pPr>
        <w:pStyle w:val="Heading1"/>
      </w:pPr>
      <w:bookmarkStart w:id="13" w:name="O_522590"/>
      <w:bookmarkEnd w:id="13"/>
      <w:r w:rsidRPr="00AA7939">
        <w:t>Custom Content Section</w:t>
      </w:r>
    </w:p>
    <w:p w:rsidR="00000000" w:rsidRPr="00AA7939" w:rsidP="00AA7939">
      <w:pPr>
        <w:pStyle w:val="BodyText"/>
      </w:pPr>
      <w:r w:rsidRPr="00AA7939">
        <w:t>Not applicable.</w:t>
      </w:r>
    </w:p>
    <w:p w:rsidR="00000000" w:rsidRPr="00AA7939" w:rsidP="00AA7939"/>
    <w:sectPr w:rsidSect="00AA7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rsidRPr="00B31E15" w:rsidP="00B31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15" w:rsidP="00AA7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1E15" w:rsidP="00AA79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31E15" w:rsidP="00AA7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rsidRPr="00B31E15" w:rsidP="00B31E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E15" w:rsidRPr="002D2AF8" w:rsidP="00AA7939">
    <w:pPr>
      <w:pStyle w:val="Header"/>
      <w:framePr w:wrap="around"/>
    </w:pPr>
    <w:r>
      <w:fldChar w:fldCharType="begin"/>
    </w:r>
    <w:r>
      <w:instrText xml:space="preserve"> TITLE   \* MERGEFORMAT </w:instrText>
    </w:r>
    <w:r>
      <w:fldChar w:fldCharType="separate"/>
    </w:r>
    <w:r>
      <w:t>AURETH4011 Deactivate and reinitialise power supply in hybrid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31E15" w:rsidP="00AA7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E4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2C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CC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939"/>
    <w:pPr>
      <w:spacing w:before="360" w:after="60"/>
      <w:outlineLvl w:val="0"/>
    </w:pPr>
    <w:rPr>
      <w:sz w:val="32"/>
    </w:rPr>
  </w:style>
  <w:style w:type="paragraph" w:styleId="Heading2">
    <w:name w:val="heading 2"/>
    <w:basedOn w:val="HeadingBase"/>
    <w:next w:val="BodyText"/>
    <w:link w:val="Heading2Char"/>
    <w:qFormat/>
    <w:rsid w:val="00AA7939"/>
    <w:pPr>
      <w:keepLines/>
      <w:spacing w:before="240" w:after="120"/>
      <w:outlineLvl w:val="1"/>
    </w:pPr>
    <w:rPr>
      <w:sz w:val="28"/>
      <w:szCs w:val="40"/>
    </w:rPr>
  </w:style>
  <w:style w:type="paragraph" w:styleId="Heading3">
    <w:name w:val="heading 3"/>
    <w:basedOn w:val="HeadingBase"/>
    <w:next w:val="BodyText"/>
    <w:link w:val="Heading3Char"/>
    <w:qFormat/>
    <w:rsid w:val="00AA7939"/>
    <w:pPr>
      <w:spacing w:before="180" w:after="120"/>
      <w:outlineLvl w:val="2"/>
    </w:pPr>
    <w:rPr>
      <w:spacing w:val="-10"/>
      <w:kern w:val="32"/>
    </w:rPr>
  </w:style>
  <w:style w:type="paragraph" w:styleId="Heading4">
    <w:name w:val="heading 4"/>
    <w:basedOn w:val="HeadingBase"/>
    <w:next w:val="BodyText"/>
    <w:link w:val="Heading4Char"/>
    <w:qFormat/>
    <w:rsid w:val="00AA7939"/>
    <w:pPr>
      <w:spacing w:before="160" w:after="120"/>
      <w:outlineLvl w:val="3"/>
    </w:pPr>
    <w:rPr>
      <w:sz w:val="22"/>
    </w:rPr>
  </w:style>
  <w:style w:type="paragraph" w:styleId="Heading5">
    <w:name w:val="heading 5"/>
    <w:basedOn w:val="HeadingBase"/>
    <w:next w:val="Normal"/>
    <w:link w:val="Heading5Char"/>
    <w:qFormat/>
    <w:rsid w:val="00AA7939"/>
    <w:pPr>
      <w:spacing w:before="80"/>
      <w:outlineLvl w:val="4"/>
    </w:pPr>
    <w:rPr>
      <w:color w:val="918585"/>
      <w:sz w:val="20"/>
    </w:rPr>
  </w:style>
  <w:style w:type="paragraph" w:styleId="Heading6">
    <w:name w:val="heading 6"/>
    <w:basedOn w:val="HeadingBase"/>
    <w:next w:val="Normal"/>
    <w:link w:val="Heading6Char"/>
    <w:qFormat/>
    <w:rsid w:val="00AA7939"/>
    <w:pPr>
      <w:spacing w:before="60"/>
      <w:outlineLvl w:val="5"/>
    </w:pPr>
    <w:rPr>
      <w:color w:val="918585"/>
      <w:sz w:val="20"/>
    </w:rPr>
  </w:style>
  <w:style w:type="paragraph" w:styleId="Heading7">
    <w:name w:val="heading 7"/>
    <w:basedOn w:val="Normal"/>
    <w:next w:val="Normal"/>
    <w:link w:val="Heading7Char"/>
    <w:qFormat/>
    <w:rsid w:val="00AA7939"/>
    <w:pPr>
      <w:ind w:left="720"/>
      <w:outlineLvl w:val="6"/>
    </w:pPr>
    <w:rPr>
      <w:i/>
    </w:rPr>
  </w:style>
  <w:style w:type="paragraph" w:styleId="Heading8">
    <w:name w:val="heading 8"/>
    <w:basedOn w:val="Normal"/>
    <w:next w:val="Normal"/>
    <w:link w:val="Heading8Char"/>
    <w:qFormat/>
    <w:rsid w:val="00AA7939"/>
    <w:pPr>
      <w:ind w:left="720"/>
      <w:outlineLvl w:val="7"/>
    </w:pPr>
    <w:rPr>
      <w:i/>
    </w:rPr>
  </w:style>
  <w:style w:type="paragraph" w:styleId="Heading9">
    <w:name w:val="heading 9"/>
    <w:basedOn w:val="Normal"/>
    <w:next w:val="Normal"/>
    <w:link w:val="Heading9Char"/>
    <w:qFormat/>
    <w:rsid w:val="00AA7939"/>
    <w:pPr>
      <w:ind w:left="720"/>
      <w:outlineLvl w:val="8"/>
    </w:pPr>
    <w:rPr>
      <w:i/>
    </w:rPr>
  </w:style>
  <w:style w:type="character" w:default="1" w:styleId="DefaultParagraphFont">
    <w:name w:val="Default Paragraph Font"/>
    <w:uiPriority w:val="1"/>
    <w:unhideWhenUsed/>
    <w:rsid w:val="00AA7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939"/>
  </w:style>
  <w:style w:type="character" w:customStyle="1" w:styleId="Heading1Char">
    <w:name w:val="Heading 1 Char"/>
    <w:basedOn w:val="DefaultParagraphFont"/>
    <w:link w:val="Heading1"/>
    <w:rsid w:val="00AA7939"/>
    <w:rPr>
      <w:rFonts w:ascii="Times New Roman" w:eastAsia="Times New Roman" w:hAnsi="Times New Roman" w:cs="Times New Roman"/>
      <w:b/>
      <w:sz w:val="32"/>
      <w:szCs w:val="20"/>
      <w:lang w:eastAsia="en-US"/>
    </w:rPr>
  </w:style>
  <w:style w:type="paragraph" w:styleId="BodyText">
    <w:name w:val="Body Text"/>
    <w:basedOn w:val="Normal"/>
    <w:link w:val="BodyTextChar"/>
    <w:rsid w:val="00AA79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939"/>
    <w:rPr>
      <w:rFonts w:ascii="Times New Roman" w:eastAsia="Times New Roman" w:hAnsi="Times New Roman" w:cs="Times New Roman"/>
      <w:sz w:val="24"/>
      <w:lang w:eastAsia="en-US"/>
    </w:rPr>
  </w:style>
  <w:style w:type="paragraph" w:styleId="List">
    <w:name w:val="List"/>
    <w:basedOn w:val="BodyText"/>
    <w:next w:val="BodyText"/>
    <w:rsid w:val="00AA7939"/>
    <w:pPr>
      <w:tabs>
        <w:tab w:val="left" w:pos="340"/>
      </w:tabs>
      <w:spacing w:before="60" w:after="60"/>
      <w:ind w:left="340" w:hanging="340"/>
    </w:pPr>
  </w:style>
  <w:style w:type="paragraph" w:styleId="ListBullet">
    <w:name w:val="List Bullet"/>
    <w:basedOn w:val="List"/>
    <w:rsid w:val="00AA7939"/>
    <w:pPr>
      <w:numPr>
        <w:numId w:val="13"/>
      </w:numPr>
      <w:tabs>
        <w:tab w:val="clear" w:pos="340"/>
      </w:tabs>
      <w:spacing w:before="40" w:after="40"/>
    </w:pPr>
  </w:style>
  <w:style w:type="character" w:customStyle="1" w:styleId="SpecialBold">
    <w:name w:val="Special Bold"/>
    <w:basedOn w:val="DefaultParagraphFont"/>
    <w:rsid w:val="00AA7939"/>
    <w:rPr>
      <w:b/>
      <w:spacing w:val="0"/>
    </w:rPr>
  </w:style>
  <w:style w:type="paragraph" w:styleId="ListBullet2">
    <w:name w:val="List Bullet 2"/>
    <w:basedOn w:val="List2"/>
    <w:rsid w:val="00AA7939"/>
    <w:pPr>
      <w:numPr>
        <w:numId w:val="14"/>
      </w:numPr>
      <w:tabs>
        <w:tab w:val="clear" w:pos="680"/>
      </w:tabs>
    </w:pPr>
  </w:style>
  <w:style w:type="paragraph" w:customStyle="1" w:styleId="SuperHeading">
    <w:name w:val="SuperHeading"/>
    <w:basedOn w:val="Normal"/>
    <w:rsid w:val="00AA7939"/>
    <w:pPr>
      <w:spacing w:before="240" w:after="120"/>
      <w:outlineLvl w:val="0"/>
    </w:pPr>
    <w:rPr>
      <w:rFonts w:ascii="Times New Roman" w:hAnsi="Times New Roman"/>
      <w:b/>
      <w:sz w:val="32"/>
    </w:rPr>
  </w:style>
  <w:style w:type="paragraph" w:customStyle="1" w:styleId="AllowPageBreak">
    <w:name w:val="AllowPageBreak"/>
    <w:rsid w:val="00AA79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7939"/>
    <w:pPr>
      <w:tabs>
        <w:tab w:val="left" w:pos="680"/>
      </w:tabs>
      <w:spacing w:before="60" w:after="60"/>
      <w:ind w:left="680" w:hanging="340"/>
    </w:pPr>
  </w:style>
  <w:style w:type="character" w:customStyle="1" w:styleId="BoldandItalics">
    <w:name w:val="Bold and Italics"/>
    <w:qFormat/>
    <w:rsid w:val="00AA7939"/>
    <w:rPr>
      <w:b/>
      <w:i/>
      <w:u w:val="none"/>
    </w:rPr>
  </w:style>
  <w:style w:type="character" w:customStyle="1" w:styleId="Heading2Char">
    <w:name w:val="Heading 2 Char"/>
    <w:basedOn w:val="DefaultParagraphFont"/>
    <w:link w:val="Heading2"/>
    <w:rsid w:val="00AA7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939"/>
    <w:rPr>
      <w:rFonts w:ascii="Courier New" w:eastAsia="Times New Roman" w:hAnsi="Courier New" w:cs="Times New Roman"/>
      <w:i/>
      <w:szCs w:val="20"/>
      <w:lang w:eastAsia="en-US"/>
    </w:rPr>
  </w:style>
  <w:style w:type="paragraph" w:customStyle="1" w:styleId="HeadingBase">
    <w:name w:val="Heading Base"/>
    <w:rsid w:val="00AA7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939"/>
    <w:pPr>
      <w:tabs>
        <w:tab w:val="right" w:leader="dot" w:pos="9072"/>
      </w:tabs>
      <w:ind w:left="567"/>
    </w:pPr>
    <w:rPr>
      <w:szCs w:val="22"/>
    </w:rPr>
  </w:style>
  <w:style w:type="paragraph" w:customStyle="1" w:styleId="TOCBase">
    <w:name w:val="TOC Base"/>
    <w:rsid w:val="00AA7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939"/>
    <w:pPr>
      <w:tabs>
        <w:tab w:val="right" w:leader="dot" w:pos="9072"/>
      </w:tabs>
      <w:spacing w:before="40" w:after="40"/>
      <w:ind w:left="284"/>
    </w:pPr>
    <w:rPr>
      <w:rFonts w:ascii="Times New Roman" w:hAnsi="Times New Roman"/>
    </w:rPr>
  </w:style>
  <w:style w:type="paragraph" w:styleId="TOC1">
    <w:name w:val="toc 1"/>
    <w:basedOn w:val="TOCBase"/>
    <w:next w:val="Normal"/>
    <w:rsid w:val="00AA7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939"/>
    <w:rPr>
      <w:rFonts w:ascii="Times New Roman" w:eastAsia="Times New Roman" w:hAnsi="Times New Roman" w:cs="Times New Roman"/>
      <w:sz w:val="16"/>
      <w:lang w:eastAsia="en-US"/>
    </w:rPr>
  </w:style>
  <w:style w:type="paragraph" w:styleId="Title">
    <w:name w:val="Title"/>
    <w:basedOn w:val="HeadingBase"/>
    <w:link w:val="TitleChar"/>
    <w:qFormat/>
    <w:rsid w:val="00AA7939"/>
    <w:pPr>
      <w:spacing w:before="5040"/>
      <w:jc w:val="center"/>
    </w:pPr>
    <w:rPr>
      <w:sz w:val="48"/>
      <w:szCs w:val="72"/>
      <w:lang w:val="en-US"/>
    </w:rPr>
  </w:style>
  <w:style w:type="character" w:customStyle="1" w:styleId="TitleChar">
    <w:name w:val="Title Char"/>
    <w:basedOn w:val="DefaultParagraphFont"/>
    <w:link w:val="Title"/>
    <w:rsid w:val="00AA7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939"/>
    <w:pPr>
      <w:tabs>
        <w:tab w:val="left" w:pos="3600"/>
        <w:tab w:val="left" w:pos="3958"/>
      </w:tabs>
    </w:pPr>
  </w:style>
  <w:style w:type="paragraph" w:customStyle="1" w:styleId="Note">
    <w:name w:val="Note"/>
    <w:basedOn w:val="BodyText"/>
    <w:rsid w:val="00AA7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939"/>
    <w:pPr>
      <w:framePr w:wrap="auto" w:hAnchor="text" w:y="6049"/>
    </w:pPr>
    <w:rPr>
      <w:color w:val="000000"/>
      <w:sz w:val="40"/>
    </w:rPr>
  </w:style>
  <w:style w:type="paragraph" w:customStyle="1" w:styleId="TOCTitle">
    <w:name w:val="TOCTitle"/>
    <w:basedOn w:val="Heading1"/>
    <w:rsid w:val="00AA7939"/>
    <w:pPr>
      <w:spacing w:after="240"/>
      <w:jc w:val="center"/>
      <w:outlineLvl w:val="9"/>
    </w:pPr>
    <w:rPr>
      <w:caps/>
    </w:rPr>
  </w:style>
  <w:style w:type="paragraph" w:customStyle="1" w:styleId="Version">
    <w:name w:val="Version"/>
    <w:rsid w:val="00AA7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939"/>
    <w:pPr>
      <w:keepNext w:val="0"/>
      <w:tabs>
        <w:tab w:val="right" w:pos="4176"/>
      </w:tabs>
      <w:ind w:left="198" w:hanging="198"/>
    </w:pPr>
    <w:rPr>
      <w:rFonts w:ascii="Garamond" w:hAnsi="Garamond"/>
    </w:rPr>
  </w:style>
  <w:style w:type="paragraph" w:styleId="IndexHeading">
    <w:name w:val="index heading"/>
    <w:basedOn w:val="Normal"/>
    <w:next w:val="Index1"/>
    <w:semiHidden/>
    <w:rsid w:val="00AA7939"/>
    <w:pPr>
      <w:spacing w:before="120" w:after="120"/>
    </w:pPr>
    <w:rPr>
      <w:rFonts w:ascii="Arial" w:hAnsi="Arial"/>
      <w:b/>
      <w:color w:val="918585"/>
      <w:sz w:val="24"/>
    </w:rPr>
  </w:style>
  <w:style w:type="paragraph" w:styleId="Header">
    <w:name w:val="header"/>
    <w:basedOn w:val="Normal"/>
    <w:link w:val="HeaderChar"/>
    <w:rsid w:val="00AA7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939"/>
    <w:rPr>
      <w:rFonts w:ascii="Times New Roman" w:eastAsia="Times New Roman" w:hAnsi="Times New Roman" w:cs="Times New Roman"/>
      <w:sz w:val="16"/>
      <w:szCs w:val="20"/>
      <w:lang w:val="en-GB" w:eastAsia="en-US"/>
    </w:rPr>
  </w:style>
  <w:style w:type="paragraph" w:customStyle="1" w:styleId="Chapter">
    <w:name w:val="Chapter"/>
    <w:basedOn w:val="Normal"/>
    <w:rsid w:val="00AA7939"/>
    <w:pPr>
      <w:spacing w:before="240"/>
    </w:pPr>
    <w:rPr>
      <w:rFonts w:ascii="Times New Roman" w:hAnsi="Times New Roman"/>
      <w:smallCaps/>
      <w:spacing w:val="80"/>
      <w:sz w:val="28"/>
    </w:rPr>
  </w:style>
  <w:style w:type="paragraph" w:customStyle="1" w:styleId="InChapter">
    <w:name w:val="InChapter"/>
    <w:basedOn w:val="Heading3"/>
    <w:rsid w:val="00AA7939"/>
    <w:pPr>
      <w:spacing w:after="240"/>
      <w:outlineLvl w:val="9"/>
    </w:pPr>
    <w:rPr>
      <w:noProof/>
    </w:rPr>
  </w:style>
  <w:style w:type="paragraph" w:styleId="Index2">
    <w:name w:val="index 2"/>
    <w:basedOn w:val="Normal"/>
    <w:next w:val="Normal"/>
    <w:semiHidden/>
    <w:rsid w:val="00AA7939"/>
    <w:pPr>
      <w:tabs>
        <w:tab w:val="right" w:pos="4176"/>
      </w:tabs>
      <w:ind w:left="568" w:hanging="284"/>
    </w:pPr>
    <w:rPr>
      <w:rFonts w:ascii="Garamond" w:hAnsi="Garamond"/>
    </w:rPr>
  </w:style>
  <w:style w:type="paragraph" w:customStyle="1" w:styleId="Byline">
    <w:name w:val="Byline"/>
    <w:rsid w:val="00AA7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939"/>
    <w:pPr>
      <w:tabs>
        <w:tab w:val="clear" w:pos="3600"/>
        <w:tab w:val="clear" w:pos="3958"/>
      </w:tabs>
      <w:jc w:val="right"/>
    </w:pPr>
  </w:style>
  <w:style w:type="character" w:styleId="Emphasis">
    <w:name w:val="Emphasis"/>
    <w:basedOn w:val="DefaultParagraphFont"/>
    <w:qFormat/>
    <w:rsid w:val="00AA7939"/>
    <w:rPr>
      <w:i/>
    </w:rPr>
  </w:style>
  <w:style w:type="paragraph" w:styleId="Caption">
    <w:name w:val="caption"/>
    <w:basedOn w:val="BodyText"/>
    <w:next w:val="Normal"/>
    <w:qFormat/>
    <w:rsid w:val="00AA7939"/>
    <w:pPr>
      <w:framePr w:w="2268" w:hSpace="181" w:vSpace="181" w:wrap="around" w:vAnchor="text" w:hAnchor="page" w:x="1135" w:y="285" w:anchorLock="1"/>
    </w:pPr>
    <w:rPr>
      <w:i/>
    </w:rPr>
  </w:style>
  <w:style w:type="paragraph" w:customStyle="1" w:styleId="MiniTOCTitle">
    <w:name w:val="MiniTOCTitle"/>
    <w:basedOn w:val="Heading4"/>
    <w:rsid w:val="00AA7939"/>
    <w:pPr>
      <w:spacing w:before="240"/>
      <w:outlineLvl w:val="9"/>
    </w:pPr>
    <w:rPr>
      <w:noProof/>
      <w:sz w:val="24"/>
    </w:rPr>
  </w:style>
  <w:style w:type="paragraph" w:customStyle="1" w:styleId="MiniTOCItem">
    <w:name w:val="MiniTOCItem"/>
    <w:basedOn w:val="ListBullet"/>
    <w:rsid w:val="00AA7939"/>
    <w:pPr>
      <w:numPr>
        <w:numId w:val="0"/>
      </w:numPr>
      <w:tabs>
        <w:tab w:val="right" w:leader="dot" w:pos="6521"/>
      </w:tabs>
      <w:spacing w:before="0" w:after="0"/>
    </w:pPr>
  </w:style>
  <w:style w:type="paragraph" w:customStyle="1" w:styleId="TOFTitle">
    <w:name w:val="TOFTitle"/>
    <w:basedOn w:val="TOCTitle"/>
    <w:rsid w:val="00AA7939"/>
  </w:style>
  <w:style w:type="paragraph" w:styleId="TableofFigures">
    <w:name w:val="table of figures"/>
    <w:basedOn w:val="Normal"/>
    <w:next w:val="Normal"/>
    <w:semiHidden/>
    <w:rsid w:val="00AA7939"/>
    <w:pPr>
      <w:tabs>
        <w:tab w:val="right" w:leader="dot" w:pos="9072"/>
      </w:tabs>
      <w:ind w:left="970" w:hanging="403"/>
    </w:pPr>
    <w:rPr>
      <w:rFonts w:ascii="Times New Roman" w:hAnsi="Times New Roman"/>
      <w:b/>
    </w:rPr>
  </w:style>
  <w:style w:type="paragraph" w:styleId="ListNumber">
    <w:name w:val="List Number"/>
    <w:basedOn w:val="List"/>
    <w:rsid w:val="00AA7939"/>
    <w:pPr>
      <w:numPr>
        <w:numId w:val="11"/>
      </w:numPr>
    </w:pPr>
  </w:style>
  <w:style w:type="character" w:customStyle="1" w:styleId="WingdingSymbols">
    <w:name w:val="Wingding Symbols"/>
    <w:rsid w:val="00AA7939"/>
    <w:rPr>
      <w:rFonts w:ascii="Wingdings" w:hAnsi="Wingdings"/>
    </w:rPr>
  </w:style>
  <w:style w:type="paragraph" w:customStyle="1" w:styleId="TableHeading">
    <w:name w:val="Table Heading"/>
    <w:basedOn w:val="HeadingBase"/>
    <w:rsid w:val="00AA7939"/>
    <w:pPr>
      <w:keepLines/>
      <w:pBdr>
        <w:bottom w:val="single" w:sz="6" w:space="1" w:color="918585"/>
      </w:pBdr>
      <w:spacing w:before="240"/>
    </w:pPr>
  </w:style>
  <w:style w:type="character" w:customStyle="1" w:styleId="HotSpot">
    <w:name w:val="HotSpot"/>
    <w:rsid w:val="00AA7939"/>
    <w:rPr>
      <w:color w:val="0033CC"/>
      <w:u w:val="none"/>
    </w:rPr>
  </w:style>
  <w:style w:type="paragraph" w:customStyle="1" w:styleId="BodyTextRight">
    <w:name w:val="Body Text Right"/>
    <w:basedOn w:val="BodyText"/>
    <w:rsid w:val="00AA7939"/>
    <w:pPr>
      <w:spacing w:before="0" w:after="0"/>
      <w:jc w:val="right"/>
    </w:pPr>
  </w:style>
  <w:style w:type="paragraph" w:styleId="Index3">
    <w:name w:val="index 3"/>
    <w:basedOn w:val="ListNumber2"/>
    <w:next w:val="Normal"/>
    <w:semiHidden/>
    <w:rsid w:val="00AA7939"/>
    <w:pPr>
      <w:numPr>
        <w:numId w:val="0"/>
      </w:numPr>
      <w:tabs>
        <w:tab w:val="right" w:leader="dot" w:pos="4176"/>
      </w:tabs>
    </w:pPr>
  </w:style>
  <w:style w:type="paragraph" w:styleId="ListNumber2">
    <w:name w:val="List Number 2"/>
    <w:basedOn w:val="List2"/>
    <w:rsid w:val="00AA7939"/>
    <w:pPr>
      <w:numPr>
        <w:numId w:val="10"/>
      </w:numPr>
      <w:tabs>
        <w:tab w:val="clear" w:pos="1060"/>
      </w:tabs>
    </w:pPr>
  </w:style>
  <w:style w:type="paragraph" w:customStyle="1" w:styleId="MarginNote">
    <w:name w:val="Margin Note"/>
    <w:basedOn w:val="BodyText"/>
    <w:rsid w:val="00AA7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939"/>
    <w:rPr>
      <w:sz w:val="32"/>
    </w:rPr>
  </w:style>
  <w:style w:type="paragraph" w:customStyle="1" w:styleId="HeadingProcedure">
    <w:name w:val="Heading Procedure"/>
    <w:basedOn w:val="HeadingBase"/>
    <w:next w:val="Normal"/>
    <w:rsid w:val="00AA7939"/>
    <w:pPr>
      <w:tabs>
        <w:tab w:val="left" w:pos="0"/>
      </w:tabs>
      <w:spacing w:before="120" w:after="60"/>
    </w:pPr>
    <w:rPr>
      <w:i/>
      <w:color w:val="918585"/>
      <w:sz w:val="22"/>
    </w:rPr>
  </w:style>
  <w:style w:type="paragraph" w:customStyle="1" w:styleId="TableBodyText">
    <w:name w:val="Table Body Text"/>
    <w:basedOn w:val="BodyText"/>
    <w:rsid w:val="00AA7939"/>
    <w:pPr>
      <w:spacing w:before="60" w:after="60"/>
    </w:pPr>
  </w:style>
  <w:style w:type="paragraph" w:styleId="ListContinue">
    <w:name w:val="List Continue"/>
    <w:basedOn w:val="List"/>
    <w:rsid w:val="00AA7939"/>
    <w:pPr>
      <w:ind w:firstLine="0"/>
    </w:pPr>
  </w:style>
  <w:style w:type="paragraph" w:customStyle="1" w:styleId="ListNote">
    <w:name w:val="List Note"/>
    <w:basedOn w:val="List"/>
    <w:rsid w:val="00AA7939"/>
    <w:pPr>
      <w:pBdr>
        <w:top w:val="single" w:sz="6" w:space="2" w:color="918585"/>
        <w:bottom w:val="single" w:sz="6" w:space="2" w:color="918585"/>
      </w:pBdr>
      <w:tabs>
        <w:tab w:val="left" w:pos="1021"/>
      </w:tabs>
      <w:ind w:firstLine="0"/>
    </w:pPr>
  </w:style>
  <w:style w:type="paragraph" w:customStyle="1" w:styleId="Warning">
    <w:name w:val="Warning"/>
    <w:basedOn w:val="BodyText"/>
    <w:rsid w:val="00AA7939"/>
    <w:pPr>
      <w:shd w:val="clear" w:color="auto" w:fill="D9D9D9"/>
      <w:tabs>
        <w:tab w:val="left" w:pos="992"/>
      </w:tabs>
      <w:ind w:left="119" w:right="119"/>
    </w:pPr>
    <w:rPr>
      <w:sz w:val="20"/>
    </w:rPr>
  </w:style>
  <w:style w:type="paragraph" w:customStyle="1" w:styleId="MarginIcons">
    <w:name w:val="Margin Icons"/>
    <w:basedOn w:val="BodyText"/>
    <w:rsid w:val="00AA7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939"/>
    <w:rPr>
      <w:rFonts w:ascii="Courier New" w:hAnsi="Courier New"/>
    </w:rPr>
  </w:style>
  <w:style w:type="paragraph" w:customStyle="1" w:styleId="NoteBullet">
    <w:name w:val="Note Bullet"/>
    <w:basedOn w:val="Note"/>
    <w:rsid w:val="00AA7939"/>
    <w:pPr>
      <w:tabs>
        <w:tab w:val="clear" w:pos="680"/>
      </w:tabs>
      <w:spacing w:before="60" w:after="60"/>
    </w:pPr>
  </w:style>
  <w:style w:type="paragraph" w:customStyle="1" w:styleId="SubHeading2">
    <w:name w:val="SubHeading2"/>
    <w:basedOn w:val="HeadingBase"/>
    <w:rsid w:val="00AA7939"/>
    <w:pPr>
      <w:spacing w:before="240" w:after="60"/>
    </w:pPr>
    <w:rPr>
      <w:sz w:val="20"/>
    </w:rPr>
  </w:style>
  <w:style w:type="paragraph" w:customStyle="1" w:styleId="SubHeading1">
    <w:name w:val="SubHeading1"/>
    <w:basedOn w:val="HeadingBase"/>
    <w:rsid w:val="00AA7939"/>
    <w:pPr>
      <w:spacing w:before="240" w:after="60"/>
    </w:pPr>
    <w:rPr>
      <w:color w:val="918585"/>
      <w:sz w:val="22"/>
    </w:rPr>
  </w:style>
  <w:style w:type="paragraph" w:customStyle="1" w:styleId="SideHeading">
    <w:name w:val="Side Heading"/>
    <w:basedOn w:val="HeadingBase"/>
    <w:rsid w:val="00AA7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939"/>
    <w:pPr>
      <w:numPr>
        <w:numId w:val="12"/>
      </w:numPr>
    </w:pPr>
  </w:style>
  <w:style w:type="paragraph" w:styleId="PlainText">
    <w:name w:val="Plain Text"/>
    <w:basedOn w:val="Normal"/>
    <w:link w:val="PlainTextChar"/>
    <w:rsid w:val="00AA7939"/>
    <w:rPr>
      <w:sz w:val="20"/>
    </w:rPr>
  </w:style>
  <w:style w:type="character" w:customStyle="1" w:styleId="PlainTextChar">
    <w:name w:val="Plain Text Char"/>
    <w:basedOn w:val="DefaultParagraphFont"/>
    <w:link w:val="PlainText"/>
    <w:rsid w:val="00AA7939"/>
    <w:rPr>
      <w:rFonts w:ascii="Courier New" w:eastAsia="Times New Roman" w:hAnsi="Courier New" w:cs="Times New Roman"/>
      <w:sz w:val="20"/>
      <w:szCs w:val="20"/>
      <w:lang w:eastAsia="en-US"/>
    </w:rPr>
  </w:style>
  <w:style w:type="character" w:customStyle="1" w:styleId="MenuOption">
    <w:name w:val="Menu Option"/>
    <w:basedOn w:val="DefaultParagraphFont"/>
    <w:rsid w:val="00AA7939"/>
    <w:rPr>
      <w:b/>
      <w:smallCaps/>
    </w:rPr>
  </w:style>
  <w:style w:type="paragraph" w:customStyle="1" w:styleId="TableListNumber">
    <w:name w:val="Table List Number"/>
    <w:basedOn w:val="ListNumber"/>
    <w:rsid w:val="00AA7939"/>
    <w:pPr>
      <w:numPr>
        <w:numId w:val="0"/>
      </w:numPr>
    </w:pPr>
  </w:style>
  <w:style w:type="paragraph" w:styleId="TOC4">
    <w:name w:val="toc 4"/>
    <w:basedOn w:val="TOCBase"/>
    <w:next w:val="Normal"/>
    <w:semiHidden/>
    <w:rsid w:val="00AA7939"/>
    <w:pPr>
      <w:tabs>
        <w:tab w:val="right" w:leader="dot" w:pos="9071"/>
      </w:tabs>
      <w:ind w:left="1701"/>
    </w:pPr>
  </w:style>
  <w:style w:type="paragraph" w:customStyle="1" w:styleId="ListAlpha">
    <w:name w:val="List Alpha"/>
    <w:basedOn w:val="List"/>
    <w:rsid w:val="00AA7939"/>
    <w:pPr>
      <w:numPr>
        <w:numId w:val="9"/>
      </w:numPr>
    </w:pPr>
  </w:style>
  <w:style w:type="paragraph" w:customStyle="1" w:styleId="ListAlpha2">
    <w:name w:val="List Alpha 2"/>
    <w:basedOn w:val="List2"/>
    <w:rsid w:val="00AA7939"/>
    <w:pPr>
      <w:numPr>
        <w:numId w:val="8"/>
      </w:numPr>
    </w:pPr>
  </w:style>
  <w:style w:type="paragraph" w:styleId="List3">
    <w:name w:val="List 3"/>
    <w:basedOn w:val="BodyText"/>
    <w:rsid w:val="00AA7939"/>
    <w:pPr>
      <w:tabs>
        <w:tab w:val="left" w:pos="1021"/>
      </w:tabs>
      <w:spacing w:before="60" w:after="60"/>
      <w:ind w:left="1020" w:hanging="340"/>
    </w:pPr>
  </w:style>
  <w:style w:type="paragraph" w:styleId="List4">
    <w:name w:val="List 4"/>
    <w:basedOn w:val="BodyText"/>
    <w:rsid w:val="00AA7939"/>
    <w:pPr>
      <w:tabs>
        <w:tab w:val="left" w:pos="1361"/>
      </w:tabs>
      <w:spacing w:before="60" w:after="60"/>
      <w:ind w:left="1361" w:hanging="340"/>
    </w:pPr>
  </w:style>
  <w:style w:type="paragraph" w:styleId="List5">
    <w:name w:val="List 5"/>
    <w:basedOn w:val="BodyText"/>
    <w:rsid w:val="00AA7939"/>
    <w:pPr>
      <w:tabs>
        <w:tab w:val="left" w:pos="1701"/>
      </w:tabs>
      <w:spacing w:before="60" w:after="60"/>
      <w:ind w:left="1701" w:hanging="340"/>
    </w:pPr>
  </w:style>
  <w:style w:type="paragraph" w:styleId="ListBullet3">
    <w:name w:val="List Bullet 3"/>
    <w:basedOn w:val="List3"/>
    <w:rsid w:val="00AA7939"/>
    <w:pPr>
      <w:numPr>
        <w:numId w:val="15"/>
      </w:numPr>
      <w:tabs>
        <w:tab w:val="clear" w:pos="1021"/>
      </w:tabs>
      <w:ind w:left="1037" w:hanging="357"/>
    </w:pPr>
  </w:style>
  <w:style w:type="paragraph" w:styleId="ListBullet4">
    <w:name w:val="List Bullet 4"/>
    <w:basedOn w:val="List4"/>
    <w:rsid w:val="00AA7939"/>
    <w:pPr>
      <w:numPr>
        <w:numId w:val="3"/>
      </w:numPr>
    </w:pPr>
  </w:style>
  <w:style w:type="paragraph" w:styleId="ListBullet5">
    <w:name w:val="List Bullet 5"/>
    <w:basedOn w:val="List5"/>
    <w:rsid w:val="00AA7939"/>
    <w:pPr>
      <w:numPr>
        <w:numId w:val="4"/>
      </w:numPr>
    </w:pPr>
  </w:style>
  <w:style w:type="paragraph" w:styleId="ListContinue2">
    <w:name w:val="List Continue 2"/>
    <w:basedOn w:val="List2"/>
    <w:rsid w:val="00AA7939"/>
    <w:pPr>
      <w:ind w:firstLine="0"/>
    </w:pPr>
  </w:style>
  <w:style w:type="paragraph" w:styleId="ListContinue3">
    <w:name w:val="List Continue 3"/>
    <w:basedOn w:val="List3"/>
    <w:rsid w:val="00AA7939"/>
    <w:pPr>
      <w:ind w:left="1021" w:firstLine="0"/>
    </w:pPr>
  </w:style>
  <w:style w:type="paragraph" w:styleId="ListContinue4">
    <w:name w:val="List Continue 4"/>
    <w:basedOn w:val="List4"/>
    <w:rsid w:val="00AA7939"/>
    <w:pPr>
      <w:ind w:firstLine="0"/>
    </w:pPr>
  </w:style>
  <w:style w:type="paragraph" w:styleId="ListContinue5">
    <w:name w:val="List Continue 5"/>
    <w:basedOn w:val="List5"/>
    <w:rsid w:val="00AA7939"/>
    <w:pPr>
      <w:ind w:firstLine="0"/>
    </w:pPr>
  </w:style>
  <w:style w:type="paragraph" w:styleId="ListNumber3">
    <w:name w:val="List Number 3"/>
    <w:basedOn w:val="List3"/>
    <w:rsid w:val="00AA7939"/>
    <w:pPr>
      <w:numPr>
        <w:numId w:val="5"/>
      </w:numPr>
    </w:pPr>
  </w:style>
  <w:style w:type="paragraph" w:styleId="ListNumber4">
    <w:name w:val="List Number 4"/>
    <w:basedOn w:val="List4"/>
    <w:rsid w:val="00AA7939"/>
    <w:pPr>
      <w:numPr>
        <w:numId w:val="6"/>
      </w:numPr>
    </w:pPr>
  </w:style>
  <w:style w:type="paragraph" w:styleId="ListNumber5">
    <w:name w:val="List Number 5"/>
    <w:basedOn w:val="List5"/>
    <w:rsid w:val="00AA7939"/>
    <w:pPr>
      <w:numPr>
        <w:numId w:val="7"/>
      </w:numPr>
    </w:pPr>
  </w:style>
  <w:style w:type="paragraph" w:styleId="BlockText">
    <w:name w:val="Block Text"/>
    <w:basedOn w:val="Normal"/>
    <w:rsid w:val="00AA7939"/>
    <w:pPr>
      <w:spacing w:after="120"/>
      <w:ind w:left="1440" w:right="1440"/>
    </w:pPr>
  </w:style>
  <w:style w:type="character" w:customStyle="1" w:styleId="Subscript">
    <w:name w:val="Subscript"/>
    <w:basedOn w:val="DefaultParagraphFont"/>
    <w:rsid w:val="00AA7939"/>
    <w:rPr>
      <w:sz w:val="16"/>
      <w:vertAlign w:val="subscript"/>
    </w:rPr>
  </w:style>
  <w:style w:type="character" w:customStyle="1" w:styleId="Superscript">
    <w:name w:val="Superscript"/>
    <w:basedOn w:val="DefaultParagraphFont"/>
    <w:rsid w:val="00AA7939"/>
    <w:rPr>
      <w:sz w:val="16"/>
      <w:vertAlign w:val="superscript"/>
    </w:rPr>
  </w:style>
  <w:style w:type="character" w:customStyle="1" w:styleId="Symbols">
    <w:name w:val="Symbols"/>
    <w:basedOn w:val="DefaultParagraphFont"/>
    <w:rsid w:val="00AA7939"/>
    <w:rPr>
      <w:rFonts w:ascii="Symbol" w:hAnsi="Symbol"/>
    </w:rPr>
  </w:style>
  <w:style w:type="character" w:customStyle="1" w:styleId="MenuOptions">
    <w:name w:val="Menu Options"/>
    <w:basedOn w:val="DefaultParagraphFont"/>
    <w:rsid w:val="00AA7939"/>
    <w:rPr>
      <w:rFonts w:ascii="Arial Narrow" w:hAnsi="Arial Narrow"/>
      <w:smallCaps/>
    </w:rPr>
  </w:style>
  <w:style w:type="character" w:customStyle="1" w:styleId="Buttons">
    <w:name w:val="Buttons"/>
    <w:basedOn w:val="DefaultParagraphFont"/>
    <w:rsid w:val="00AA7939"/>
    <w:rPr>
      <w:b/>
    </w:rPr>
  </w:style>
  <w:style w:type="character" w:customStyle="1" w:styleId="Underlined">
    <w:name w:val="Underlined"/>
    <w:basedOn w:val="DefaultParagraphFont"/>
    <w:rsid w:val="00AA7939"/>
    <w:rPr>
      <w:u w:val="single"/>
    </w:rPr>
  </w:style>
  <w:style w:type="paragraph" w:customStyle="1" w:styleId="TableBodyTextRight">
    <w:name w:val="Table Body Text Right"/>
    <w:basedOn w:val="TableBodyText"/>
    <w:rsid w:val="00AA7939"/>
    <w:pPr>
      <w:widowControl w:val="0"/>
      <w:autoSpaceDE w:val="0"/>
      <w:autoSpaceDN w:val="0"/>
      <w:adjustRightInd w:val="0"/>
      <w:jc w:val="right"/>
    </w:pPr>
    <w:rPr>
      <w:rFonts w:cs="Arial"/>
      <w:szCs w:val="18"/>
    </w:rPr>
  </w:style>
  <w:style w:type="paragraph" w:customStyle="1" w:styleId="CopyrightText">
    <w:name w:val="Copyright Text"/>
    <w:basedOn w:val="BodyText"/>
    <w:rsid w:val="00AA7939"/>
    <w:rPr>
      <w:sz w:val="18"/>
    </w:rPr>
  </w:style>
  <w:style w:type="paragraph" w:customStyle="1" w:styleId="BodySmallRight">
    <w:name w:val="Body Small Right"/>
    <w:basedOn w:val="BodyTextRight"/>
    <w:rsid w:val="00AA7939"/>
    <w:rPr>
      <w:sz w:val="18"/>
      <w:szCs w:val="18"/>
    </w:rPr>
  </w:style>
  <w:style w:type="paragraph" w:customStyle="1" w:styleId="MarginEdition">
    <w:name w:val="Margin Edition"/>
    <w:basedOn w:val="MarginNote"/>
    <w:rsid w:val="00AA7939"/>
    <w:pPr>
      <w:spacing w:before="0" w:after="0"/>
    </w:pPr>
    <w:rPr>
      <w:rFonts w:ascii="Times New Roman" w:hAnsi="Times New Roman"/>
      <w:color w:val="999999"/>
    </w:rPr>
  </w:style>
  <w:style w:type="paragraph" w:customStyle="1" w:styleId="Spacer">
    <w:name w:val="Spacer"/>
    <w:basedOn w:val="Normal"/>
    <w:rsid w:val="00AA7939"/>
    <w:rPr>
      <w:sz w:val="2"/>
      <w:szCs w:val="2"/>
    </w:rPr>
  </w:style>
  <w:style w:type="character" w:customStyle="1" w:styleId="Small">
    <w:name w:val="Small"/>
    <w:basedOn w:val="DefaultParagraphFont"/>
    <w:rsid w:val="00AA7939"/>
    <w:rPr>
      <w:sz w:val="16"/>
    </w:rPr>
  </w:style>
  <w:style w:type="paragraph" w:customStyle="1" w:styleId="WideTable">
    <w:name w:val="Wide Table"/>
    <w:basedOn w:val="Normal"/>
    <w:rsid w:val="00AA7939"/>
    <w:pPr>
      <w:ind w:left="-1418"/>
    </w:pPr>
    <w:rPr>
      <w:sz w:val="2"/>
      <w:szCs w:val="2"/>
    </w:rPr>
  </w:style>
  <w:style w:type="character" w:styleId="PageNumber">
    <w:name w:val="page number"/>
    <w:basedOn w:val="DefaultParagraphFont"/>
    <w:rsid w:val="00AA7939"/>
  </w:style>
  <w:style w:type="paragraph" w:styleId="Quote">
    <w:name w:val="Quote"/>
    <w:basedOn w:val="Heading1"/>
    <w:link w:val="QuoteChar"/>
    <w:qFormat/>
    <w:rsid w:val="00AA7939"/>
    <w:rPr>
      <w:b w:val="0"/>
      <w:sz w:val="72"/>
      <w:szCs w:val="72"/>
      <w:lang w:val="en-NZ"/>
    </w:rPr>
  </w:style>
  <w:style w:type="character" w:customStyle="1" w:styleId="QuoteChar">
    <w:name w:val="Quote Char"/>
    <w:basedOn w:val="DefaultParagraphFont"/>
    <w:link w:val="Quote"/>
    <w:rsid w:val="00AA7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939"/>
    <w:pPr>
      <w:pageBreakBefore/>
    </w:pPr>
  </w:style>
  <w:style w:type="paragraph" w:customStyle="1" w:styleId="Border">
    <w:name w:val="Border"/>
    <w:basedOn w:val="Normal"/>
    <w:qFormat/>
    <w:rsid w:val="00AA7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939"/>
    <w:rPr>
      <w:b/>
      <w:bCs/>
      <w:i/>
      <w:iCs/>
      <w:color w:val="auto"/>
    </w:rPr>
  </w:style>
  <w:style w:type="paragraph" w:styleId="IntenseQuote">
    <w:name w:val="Intense Quote"/>
    <w:basedOn w:val="Normal"/>
    <w:next w:val="Normal"/>
    <w:link w:val="IntenseQuoteChar"/>
    <w:uiPriority w:val="30"/>
    <w:qFormat/>
    <w:rsid w:val="00AA7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939"/>
    <w:rPr>
      <w:smallCaps/>
      <w:color w:val="auto"/>
      <w:u w:val="single"/>
    </w:rPr>
  </w:style>
  <w:style w:type="character" w:styleId="IntenseReference">
    <w:name w:val="Intense Reference"/>
    <w:basedOn w:val="DefaultParagraphFont"/>
    <w:uiPriority w:val="32"/>
    <w:qFormat/>
    <w:rsid w:val="00AA7939"/>
    <w:rPr>
      <w:b/>
      <w:bCs/>
      <w:smallCaps/>
      <w:color w:val="auto"/>
      <w:spacing w:val="5"/>
      <w:u w:val="single"/>
    </w:rPr>
  </w:style>
  <w:style w:type="paragraph" w:customStyle="1" w:styleId="2ColumnHeading">
    <w:name w:val="2Column Heading"/>
    <w:basedOn w:val="BodyText"/>
    <w:qFormat/>
    <w:rsid w:val="00AA7939"/>
    <w:pPr>
      <w:spacing w:after="60"/>
      <w:ind w:left="-2268"/>
    </w:pPr>
    <w:rPr>
      <w:b/>
    </w:rPr>
  </w:style>
  <w:style w:type="paragraph" w:customStyle="1" w:styleId="Heading1TOC">
    <w:name w:val="Heading1 TOC"/>
    <w:basedOn w:val="Normal"/>
    <w:qFormat/>
    <w:rsid w:val="00AA7939"/>
    <w:pPr>
      <w:spacing w:before="240" w:after="120"/>
    </w:pPr>
    <w:rPr>
      <w:rFonts w:ascii="Times New Roman" w:hAnsi="Times New Roman"/>
      <w:b/>
      <w:sz w:val="32"/>
    </w:rPr>
  </w:style>
  <w:style w:type="paragraph" w:customStyle="1" w:styleId="Heading2TOC">
    <w:name w:val="Heading2 TOC"/>
    <w:basedOn w:val="Normal"/>
    <w:qFormat/>
    <w:rsid w:val="00AA7939"/>
    <w:pPr>
      <w:spacing w:before="240" w:after="60"/>
    </w:pPr>
    <w:rPr>
      <w:rFonts w:ascii="Times New Roman" w:hAnsi="Times New Roman"/>
      <w:b/>
      <w:sz w:val="28"/>
    </w:rPr>
  </w:style>
  <w:style w:type="character" w:customStyle="1" w:styleId="Underline">
    <w:name w:val="Underline"/>
    <w:basedOn w:val="DefaultParagraphFont"/>
    <w:qFormat/>
    <w:rsid w:val="00AA7939"/>
    <w:rPr>
      <w:u w:val="single"/>
    </w:rPr>
  </w:style>
  <w:style w:type="paragraph" w:styleId="BalloonText">
    <w:name w:val="Balloon Text"/>
    <w:basedOn w:val="Normal"/>
    <w:link w:val="BalloonTextChar"/>
    <w:rsid w:val="00AA7939"/>
    <w:rPr>
      <w:rFonts w:ascii="Tahoma" w:hAnsi="Tahoma" w:cs="Tahoma"/>
      <w:sz w:val="16"/>
      <w:szCs w:val="16"/>
    </w:rPr>
  </w:style>
  <w:style w:type="character" w:customStyle="1" w:styleId="BalloonTextChar">
    <w:name w:val="Balloon Text Char"/>
    <w:basedOn w:val="DefaultParagraphFont"/>
    <w:link w:val="BalloonText"/>
    <w:rsid w:val="00AA7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9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939"/>
    <w:rPr>
      <w:b/>
      <w:color w:val="660033"/>
      <w:spacing w:val="0"/>
    </w:rPr>
  </w:style>
  <w:style w:type="paragraph" w:customStyle="1" w:styleId="Nameditemlist">
    <w:name w:val="Named item list"/>
    <w:basedOn w:val="BodyText"/>
    <w:qFormat/>
    <w:rsid w:val="00AA79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1475</Words>
  <Characters>9506</Characters>
  <Application>Microsoft Office Word</Application>
  <DocSecurity>0</DocSecurity>
  <Lines>321</Lines>
  <Paragraphs>183</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AURETH4011 Deactivate and reinitialise power supply in hybrid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2013-01-15T10:31:00Z</dcterms:created>
  <dcterms:modified xsi:type="dcterms:W3CDTF">2013-01-15T10:31:00Z</dcterms:modified>
</cp:coreProperties>
</file>