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28B" w:rsidP="00DB428B">
      <w:pPr>
        <w:pStyle w:val="Title"/>
      </w:pPr>
      <w:r>
        <w:fldChar w:fldCharType="begin"/>
      </w:r>
      <w:r>
        <w:instrText xml:space="preserve"> TITLE   \* MERGEFORMAT </w:instrText>
      </w:r>
      <w:r>
        <w:fldChar w:fldCharType="separate"/>
      </w:r>
      <w:r>
        <w:t>AUR20905 Certificate II in Automotive Vehicle Body</w:t>
      </w:r>
      <w:r>
        <w:fldChar w:fldCharType="end"/>
      </w:r>
    </w:p>
    <w:p w:rsidR="00DB428B" w:rsidP="00DB428B">
      <w:pPr>
        <w:pStyle w:val="Version"/>
        <w:sectPr w:rsidSect="00FE4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4B02" w:rsidP="00FE4B02">
      <w:pPr>
        <w:pStyle w:val="SuperHeading"/>
      </w:pPr>
      <w:r w:rsidRPr="00FE4B02">
        <w:t>AUR20905 Certificate II in Automotive Vehicle Body</w:t>
      </w:r>
    </w:p>
    <w:p w:rsidR="00000000" w:rsidRPr="00FE4B02" w:rsidP="00FE4B02">
      <w:pPr>
        <w:pStyle w:val="Heading1"/>
      </w:pPr>
      <w:bookmarkStart w:id="1" w:name="O_381364"/>
      <w:bookmarkEnd w:id="1"/>
      <w:r w:rsidRPr="00FE4B02">
        <w:t>Modification History</w:t>
      </w:r>
    </w:p>
    <w:p w:rsidR="00000000" w:rsidRPr="00FE4B02" w:rsidP="00FE4B02">
      <w:pPr>
        <w:pStyle w:val="BodyText"/>
      </w:pPr>
      <w:r w:rsidRPr="00FE4B02">
        <w:rPr>
          <w:rStyle w:val="SpecialBold"/>
        </w:rPr>
        <w:t>One imported unit of competency deleted:</w:t>
      </w:r>
    </w:p>
    <w:p w:rsidR="00000000" w:rsidRPr="00FE4B02" w:rsidP="00FE4B02">
      <w:pPr>
        <w:pStyle w:val="BodyText"/>
      </w:pPr>
      <w:r w:rsidRPr="00FE4B02">
        <w:t>TLIC107C</w:t>
      </w:r>
    </w:p>
    <w:p w:rsidR="00000000" w:rsidRPr="00FE4B02" w:rsidP="00FE4B02">
      <w:pPr>
        <w:pStyle w:val="BodyText"/>
      </w:pPr>
    </w:p>
    <w:p w:rsidR="00000000" w:rsidRPr="00FE4B02" w:rsidP="00FE4B02">
      <w:pPr>
        <w:pStyle w:val="BodyText"/>
      </w:pPr>
      <w:r w:rsidRPr="00FE4B02">
        <w:rPr>
          <w:rStyle w:val="SpecialBold"/>
        </w:rPr>
        <w:t>Two AUR units of competency</w:t>
      </w:r>
      <w:r w:rsidRPr="00FE4B02">
        <w:rPr>
          <w:rStyle w:val="SpecialBold"/>
        </w:rPr>
        <w:t xml:space="preserve"> updated:</w:t>
      </w:r>
    </w:p>
    <w:p w:rsidR="00000000" w:rsidRPr="00FE4B02" w:rsidP="00FE4B02">
      <w:pPr>
        <w:pStyle w:val="BodyText"/>
      </w:pPr>
      <w:r w:rsidRPr="00FE4B02">
        <w:t>AURV326366AB replaces AURV326366AA</w:t>
      </w:r>
    </w:p>
    <w:p w:rsidR="00000000" w:rsidRPr="00FE4B02" w:rsidP="00FE4B02">
      <w:pPr>
        <w:pStyle w:val="BodyText"/>
      </w:pPr>
      <w:r w:rsidRPr="00FE4B02">
        <w:t>AURV326367B replaces AURV326367A</w:t>
      </w:r>
    </w:p>
    <w:p w:rsidR="00000000" w:rsidRPr="00FE4B02" w:rsidP="00FE4B02">
      <w:pPr>
        <w:pStyle w:val="BodyText"/>
      </w:pPr>
    </w:p>
    <w:p w:rsidR="00000000" w:rsidRPr="00FE4B02" w:rsidP="00FE4B02">
      <w:pPr>
        <w:pStyle w:val="BodyText"/>
      </w:pPr>
      <w:r w:rsidRPr="00FE4B02">
        <w:rPr>
          <w:rStyle w:val="SpecialBold"/>
        </w:rPr>
        <w:t>Four imported unit of competency update:</w:t>
      </w:r>
    </w:p>
    <w:p w:rsidR="00000000" w:rsidRPr="00FE4B02" w:rsidP="00FE4B02">
      <w:pPr>
        <w:pStyle w:val="BodyText"/>
      </w:pPr>
      <w:r w:rsidRPr="00FE4B02">
        <w:t>BSBFLM312C replaces BSBFLM312B</w:t>
      </w:r>
    </w:p>
    <w:p w:rsidR="00000000" w:rsidRPr="00FE4B02" w:rsidP="00FE4B02">
      <w:pPr>
        <w:pStyle w:val="BodyText"/>
      </w:pPr>
      <w:r w:rsidRPr="00FE4B02">
        <w:t>LMFGG2005C replaces LMFGG2005B</w:t>
      </w:r>
    </w:p>
    <w:p w:rsidR="00000000" w:rsidRPr="00FE4B02" w:rsidP="00FE4B02">
      <w:pPr>
        <w:pStyle w:val="BodyText"/>
      </w:pPr>
      <w:r w:rsidRPr="00FE4B02">
        <w:t>LMFGG3001C replaces LMFGG3001B</w:t>
      </w:r>
    </w:p>
    <w:p w:rsidR="00000000" w:rsidRPr="00FE4B02" w:rsidP="00FE4B02">
      <w:pPr>
        <w:pStyle w:val="BodyText"/>
      </w:pPr>
      <w:r w:rsidRPr="00FE4B02">
        <w:t>LMFGG3002C replaces LMFGG3002B</w:t>
      </w:r>
    </w:p>
    <w:p w:rsidR="00000000" w:rsidRPr="00FE4B02" w:rsidP="00FE4B02">
      <w:pPr>
        <w:pStyle w:val="AllowPageBreak"/>
      </w:pPr>
    </w:p>
    <w:p w:rsidR="00000000" w:rsidRPr="00FE4B02" w:rsidP="00FE4B02">
      <w:pPr>
        <w:pStyle w:val="Heading1"/>
      </w:pPr>
      <w:bookmarkStart w:id="2" w:name="O_381369"/>
      <w:bookmarkEnd w:id="2"/>
      <w:r w:rsidRPr="00FE4B02">
        <w:t>Description</w:t>
      </w:r>
    </w:p>
    <w:p w:rsidR="00000000" w:rsidRPr="00FE4B02" w:rsidP="00FE4B02">
      <w:pPr>
        <w:pStyle w:val="BodyText"/>
      </w:pPr>
      <w:r w:rsidRPr="00FE4B02">
        <w:t>This qualification covers the skills and knowledge required to perform a range of tasks to repair and maintain the body of cars and other vehicles. It is suitable for entry into the automotive retail, service and repair industry.</w:t>
      </w:r>
    </w:p>
    <w:p w:rsidR="00000000" w:rsidRPr="00FE4B02" w:rsidP="00FE4B02">
      <w:pPr>
        <w:pStyle w:val="BodyText"/>
      </w:pPr>
    </w:p>
    <w:p w:rsidR="00000000" w:rsidRPr="00FE4B02" w:rsidP="00FE4B02">
      <w:pPr>
        <w:pStyle w:val="BodyText"/>
      </w:pPr>
      <w:r w:rsidRPr="00FE4B02">
        <w:rPr>
          <w:rStyle w:val="BoldandItalics"/>
        </w:rPr>
        <w:t>Job roles</w:t>
      </w:r>
      <w:r w:rsidRPr="00FE4B02">
        <w:t>/</w:t>
      </w:r>
      <w:r w:rsidRPr="00FE4B02">
        <w:rPr>
          <w:rStyle w:val="BoldandItalics"/>
        </w:rPr>
        <w:t>employment outcomes</w:t>
      </w:r>
    </w:p>
    <w:p w:rsidR="00000000" w:rsidRPr="00FE4B02" w:rsidP="00FE4B02">
      <w:pPr>
        <w:pStyle w:val="BodyText"/>
      </w:pPr>
      <w:r w:rsidRPr="00FE4B02">
        <w:t xml:space="preserve">The Certificate II in Automotive Vehicle Body is intended to prepare new employees or recognise and develop existing workers who perform repair and maintenance operations in an automotive repair business. </w:t>
      </w:r>
    </w:p>
    <w:p w:rsidR="00000000" w:rsidRPr="00FE4B02" w:rsidP="00FE4B02">
      <w:pPr>
        <w:pStyle w:val="BodyText"/>
      </w:pPr>
    </w:p>
    <w:p w:rsidR="00000000" w:rsidRPr="00FE4B02" w:rsidP="00FE4B02">
      <w:pPr>
        <w:pStyle w:val="BodyText"/>
      </w:pPr>
      <w:r w:rsidRPr="00FE4B02">
        <w:t>Employment outcomes</w:t>
      </w:r>
      <w:r w:rsidRPr="00FE4B02">
        <w:t xml:space="preserve"> targeted by this qualification include:</w:t>
      </w:r>
    </w:p>
    <w:p w:rsidR="00000000" w:rsidRPr="00FE4B02" w:rsidP="00FE4B02">
      <w:pPr>
        <w:pStyle w:val="ListBullet"/>
      </w:pPr>
      <w:r w:rsidRPr="00FE4B02">
        <w:t>panel beater assistant</w:t>
      </w:r>
    </w:p>
    <w:p w:rsidR="00000000" w:rsidRPr="00FE4B02" w:rsidP="00FE4B02">
      <w:pPr>
        <w:pStyle w:val="ListBullet"/>
      </w:pPr>
      <w:r w:rsidRPr="00FE4B02">
        <w:t>vehicle painter assistant</w:t>
      </w:r>
    </w:p>
    <w:p w:rsidR="00000000" w:rsidRPr="00FE4B02" w:rsidP="00FE4B02">
      <w:pPr>
        <w:pStyle w:val="ListBullet"/>
      </w:pPr>
      <w:r w:rsidRPr="00FE4B02">
        <w:t>vehicle trimmer assistant</w:t>
      </w:r>
    </w:p>
    <w:p w:rsidR="00000000" w:rsidRPr="00FE4B02" w:rsidP="00FE4B02">
      <w:pPr>
        <w:pStyle w:val="ListBullet"/>
      </w:pPr>
      <w:r w:rsidRPr="00FE4B02">
        <w:t>windscreen fitter</w:t>
      </w:r>
    </w:p>
    <w:p w:rsidR="00000000" w:rsidRPr="00FE4B02" w:rsidP="00FE4B02">
      <w:pPr>
        <w:pStyle w:val="ListBullet"/>
      </w:pPr>
      <w:r w:rsidRPr="00FE4B02">
        <w:t>vehicle dismantler</w:t>
      </w:r>
    </w:p>
    <w:p w:rsidR="00000000" w:rsidRPr="00FE4B02" w:rsidP="00FE4B02">
      <w:pPr>
        <w:pStyle w:val="ListBullet"/>
      </w:pPr>
      <w:r w:rsidRPr="00FE4B02">
        <w:t>vehicle detailer.</w:t>
      </w:r>
    </w:p>
    <w:p w:rsidR="00000000" w:rsidRPr="00FE4B02" w:rsidP="00FE4B02">
      <w:pPr>
        <w:pStyle w:val="BodyText"/>
      </w:pPr>
    </w:p>
    <w:p w:rsidR="00000000" w:rsidRPr="00FE4B02" w:rsidP="00FE4B02">
      <w:pPr>
        <w:pStyle w:val="BodyText"/>
      </w:pPr>
      <w:r w:rsidRPr="00FE4B02">
        <w:rPr>
          <w:rStyle w:val="BoldandItalics"/>
        </w:rPr>
        <w:t>Application</w:t>
      </w:r>
    </w:p>
    <w:p w:rsidR="00000000" w:rsidRPr="00FE4B02" w:rsidP="00FE4B02">
      <w:pPr>
        <w:pStyle w:val="BodyText"/>
      </w:pPr>
      <w:r w:rsidRPr="00FE4B02">
        <w:t xml:space="preserve">This qualification is suitable for an Australian Apprenticeship pathway. </w:t>
      </w:r>
    </w:p>
    <w:p w:rsidR="00000000" w:rsidRPr="00FE4B02" w:rsidP="00FE4B02">
      <w:pPr>
        <w:pStyle w:val="AllowPageBreak"/>
      </w:pPr>
    </w:p>
    <w:p w:rsidR="00000000" w:rsidRPr="00FE4B02" w:rsidP="00FE4B02">
      <w:pPr>
        <w:pStyle w:val="Heading1"/>
      </w:pPr>
      <w:bookmarkStart w:id="3" w:name="O_381362"/>
      <w:bookmarkEnd w:id="3"/>
      <w:r w:rsidRPr="00FE4B02">
        <w:t>Pathways Information</w:t>
      </w:r>
    </w:p>
    <w:p w:rsidR="00000000" w:rsidRPr="00FE4B02" w:rsidP="00FE4B02">
      <w:pPr>
        <w:pStyle w:val="BodyText"/>
      </w:pPr>
      <w:r w:rsidRPr="00FE4B02">
        <w:rPr>
          <w:rStyle w:val="BoldandItalics"/>
        </w:rPr>
        <w:t>Pathways into the qualification</w:t>
      </w:r>
    </w:p>
    <w:p w:rsidR="00000000" w:rsidRPr="00FE4B02" w:rsidP="00FE4B02">
      <w:pPr>
        <w:pStyle w:val="BodyText"/>
      </w:pPr>
      <w:r w:rsidRPr="00FE4B02">
        <w:t>This qualification may be accessed by direct entry. Credit may be granted towards this qualification by those wh</w:t>
      </w:r>
      <w:r w:rsidRPr="00FE4B02">
        <w:t xml:space="preserve">o have completed AUR10105 Certificate I in Automotive or other relevant qualifications. </w:t>
      </w:r>
    </w:p>
    <w:p w:rsidR="00000000" w:rsidRPr="00FE4B02" w:rsidP="00FE4B02">
      <w:pPr>
        <w:pStyle w:val="BodyText"/>
      </w:pPr>
    </w:p>
    <w:p w:rsidR="00000000" w:rsidRPr="00FE4B02" w:rsidP="00FE4B02">
      <w:pPr>
        <w:pStyle w:val="BodyText"/>
      </w:pPr>
      <w:r w:rsidRPr="00FE4B02">
        <w:rPr>
          <w:rStyle w:val="BoldandItalics"/>
        </w:rPr>
        <w:t>Pathways from the qualification</w:t>
      </w:r>
      <w:r w:rsidRPr="00FE4B02">
        <w:t xml:space="preserve"> </w:t>
      </w:r>
    </w:p>
    <w:p w:rsidR="00000000" w:rsidRPr="00FE4B02" w:rsidP="00FE4B02">
      <w:pPr>
        <w:pStyle w:val="BodyText"/>
      </w:pPr>
      <w:r w:rsidRPr="00FE4B02">
        <w:t>Further training pathways from this qualification include AUR30805 Certificate III in Automotive Vehicle Body or other relevant qualifications.</w:t>
      </w:r>
    </w:p>
    <w:p w:rsidR="00000000" w:rsidRPr="00FE4B02" w:rsidP="00FE4B02">
      <w:pPr>
        <w:pStyle w:val="BodyText"/>
      </w:pPr>
    </w:p>
    <w:p w:rsidR="00000000" w:rsidRPr="00FE4B02" w:rsidP="00FE4B02">
      <w:pPr>
        <w:pStyle w:val="BodyText"/>
      </w:pPr>
      <w:r w:rsidRPr="00FE4B02">
        <w:rPr>
          <w:rStyle w:val="BoldandItalics"/>
        </w:rPr>
        <w:t>Additional qualification advice</w:t>
      </w:r>
    </w:p>
    <w:p w:rsidR="00000000" w:rsidRPr="00FE4B02" w:rsidP="00FE4B02">
      <w:pPr>
        <w:pStyle w:val="BodyText"/>
      </w:pPr>
      <w:r w:rsidRPr="00FE4B02">
        <w:t>The Certificate II in Automotive Vehicle Body may be attained as a generic qual</w:t>
      </w:r>
      <w:r w:rsidRPr="00FE4B02">
        <w:t xml:space="preserve">ification, or where a particular occupational outcome is required, may include a specialisation. </w:t>
      </w:r>
    </w:p>
    <w:p w:rsidR="00000000" w:rsidRPr="00FE4B02" w:rsidP="00FE4B02">
      <w:pPr>
        <w:pStyle w:val="BodyText"/>
      </w:pPr>
    </w:p>
    <w:p w:rsidR="00000000" w:rsidRPr="00FE4B02" w:rsidP="00FE4B02">
      <w:pPr>
        <w:pStyle w:val="BodyText"/>
      </w:pPr>
      <w:r w:rsidRPr="00FE4B02">
        <w:t>Specialisations for this qualification include:</w:t>
      </w:r>
    </w:p>
    <w:p w:rsidR="00000000" w:rsidRPr="00FE4B02" w:rsidP="00FE4B02">
      <w:pPr>
        <w:pStyle w:val="ListBullet"/>
      </w:pPr>
      <w:r w:rsidRPr="00FE4B02">
        <w:t>paint preparation</w:t>
      </w:r>
    </w:p>
    <w:p w:rsidR="00000000" w:rsidRPr="00FE4B02" w:rsidP="00FE4B02">
      <w:pPr>
        <w:pStyle w:val="ListBullet"/>
      </w:pPr>
      <w:r w:rsidRPr="00FE4B02">
        <w:t>panel preparation</w:t>
      </w:r>
    </w:p>
    <w:p w:rsidR="00000000" w:rsidRPr="00FE4B02" w:rsidP="00FE4B02">
      <w:pPr>
        <w:pStyle w:val="ListBullet"/>
      </w:pPr>
      <w:r w:rsidRPr="00FE4B02">
        <w:t>vehicle dismantling</w:t>
      </w:r>
    </w:p>
    <w:p w:rsidR="00000000" w:rsidRPr="00FE4B02" w:rsidP="00FE4B02">
      <w:pPr>
        <w:pStyle w:val="ListBullet"/>
      </w:pPr>
      <w:r w:rsidRPr="00FE4B02">
        <w:t>vehicle glazing</w:t>
      </w:r>
    </w:p>
    <w:p w:rsidR="00000000" w:rsidRPr="00FE4B02" w:rsidP="00FE4B02">
      <w:pPr>
        <w:pStyle w:val="ListBullet"/>
      </w:pPr>
      <w:r w:rsidRPr="00FE4B02">
        <w:t>vehicle presentation</w:t>
      </w:r>
    </w:p>
    <w:p w:rsidR="00000000" w:rsidRPr="00FE4B02" w:rsidP="00FE4B02">
      <w:pPr>
        <w:pStyle w:val="ListBullet"/>
      </w:pPr>
      <w:r w:rsidRPr="00FE4B02">
        <w:t>window tinting</w:t>
      </w:r>
    </w:p>
    <w:p w:rsidR="00000000" w:rsidRPr="00FE4B02" w:rsidP="00FE4B02">
      <w:pPr>
        <w:pStyle w:val="ListBullet"/>
      </w:pPr>
      <w:r w:rsidRPr="00FE4B02">
        <w:t>vehicle trimming.</w:t>
      </w:r>
    </w:p>
    <w:p w:rsidR="00000000" w:rsidRPr="00FE4B02" w:rsidP="00FE4B02">
      <w:pPr>
        <w:pStyle w:val="BodyText"/>
      </w:pPr>
    </w:p>
    <w:p w:rsidR="00000000" w:rsidRPr="00FE4B02" w:rsidP="00FE4B02">
      <w:pPr>
        <w:pStyle w:val="BodyText"/>
      </w:pPr>
      <w:r w:rsidRPr="00FE4B02">
        <w:t xml:space="preserve">Advice is provided at the end of this qualification on the recommended units of competency for each specialisation. </w:t>
      </w:r>
    </w:p>
    <w:p w:rsidR="00000000" w:rsidRPr="00FE4B02" w:rsidP="00FE4B02">
      <w:pPr>
        <w:pStyle w:val="BodyText"/>
      </w:pPr>
    </w:p>
    <w:p w:rsidR="00000000" w:rsidRPr="00FE4B02" w:rsidP="00FE4B02">
      <w:pPr>
        <w:pStyle w:val="BodyText"/>
      </w:pPr>
      <w:r w:rsidRPr="00FE4B02">
        <w:t>Where elective units of competency are packaged to suit a particular industry sector or occupational outcome, Registere</w:t>
      </w:r>
      <w:r w:rsidRPr="00FE4B02">
        <w:t>d Training Organisations (RTOs) might issue, for example, a:</w:t>
      </w:r>
    </w:p>
    <w:p w:rsidR="00000000" w:rsidRPr="00FE4B02" w:rsidP="00FE4B02">
      <w:pPr>
        <w:pStyle w:val="BodyText"/>
      </w:pPr>
    </w:p>
    <w:tbl>
      <w:tblPr>
        <w:tblW w:w="0" w:type="auto"/>
        <w:tblLayout w:type="fixed"/>
        <w:tblCellMar>
          <w:left w:w="62" w:type="dxa"/>
          <w:right w:w="62" w:type="dxa"/>
        </w:tblCellMar>
        <w:tblLook w:val="0000"/>
      </w:tblPr>
      <w:tblGrid>
        <w:gridCol w:w="2860"/>
        <w:gridCol w:w="2479"/>
        <w:gridCol w:w="3183"/>
      </w:tblGrid>
      <w:tr w:rsidTr="00DB428B">
        <w:tblPrEx>
          <w:tblW w:w="0" w:type="auto"/>
          <w:tblLayout w:type="fixed"/>
          <w:tblCellMar>
            <w:left w:w="62" w:type="dxa"/>
            <w:right w:w="62" w:type="dxa"/>
          </w:tblCellMar>
          <w:tblLook w:val="0000"/>
        </w:tblPrEx>
        <w:trPr>
          <w:tblHeader/>
        </w:trPr>
        <w:tc>
          <w:tcPr>
            <w:tcW w:w="2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Certificate II in Automotive Vehicle Body  (specialising in vehicle presentation)</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OR</w:t>
            </w:r>
          </w:p>
        </w:tc>
        <w:tc>
          <w:tcPr>
            <w:tcW w:w="3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Certificate II in Automotive Vehicle Body  (vehicle presentation)</w:t>
            </w:r>
          </w:p>
        </w:tc>
      </w:tr>
    </w:tbl>
    <w:p w:rsidR="00000000" w:rsidRPr="00FE4B02" w:rsidP="00FE4B02">
      <w:pPr>
        <w:pStyle w:val="BodyText"/>
      </w:pPr>
    </w:p>
    <w:p w:rsidR="00000000" w:rsidRPr="00FE4B02" w:rsidP="00FE4B02">
      <w:pPr>
        <w:pStyle w:val="BodyText"/>
      </w:pPr>
      <w:r w:rsidRPr="00FE4B02">
        <w:t xml:space="preserve">It should be noted that a qualification with a specialisation does not change the title of the qualification, although RTOs may choose to record the specialisation </w:t>
      </w:r>
      <w:r w:rsidRPr="00FE4B02">
        <w:rPr>
          <w:rStyle w:val="BoldandItalics"/>
        </w:rPr>
        <w:t>below</w:t>
      </w:r>
      <w:r w:rsidRPr="00FE4B02">
        <w:t xml:space="preserve"> the title. </w:t>
      </w:r>
    </w:p>
    <w:p w:rsidR="00000000" w:rsidRPr="00FE4B02" w:rsidP="00FE4B02">
      <w:pPr>
        <w:pStyle w:val="AllowPageBreak"/>
      </w:pPr>
    </w:p>
    <w:p w:rsidR="00000000" w:rsidRPr="00FE4B02" w:rsidP="00FE4B02">
      <w:pPr>
        <w:pStyle w:val="Heading1"/>
      </w:pPr>
      <w:bookmarkStart w:id="4" w:name="O_381365"/>
      <w:bookmarkEnd w:id="4"/>
      <w:r w:rsidRPr="00FE4B02">
        <w:t>Licensing/Regulatory Information</w:t>
      </w:r>
    </w:p>
    <w:p w:rsidR="00000000" w:rsidRPr="00FE4B02" w:rsidP="00FE4B02">
      <w:pPr>
        <w:pStyle w:val="BodyText"/>
      </w:pPr>
      <w:r w:rsidRPr="00FE4B02">
        <w:rPr>
          <w:rStyle w:val="BoldandItalics"/>
        </w:rPr>
        <w:t>Licensing considerations</w:t>
      </w:r>
    </w:p>
    <w:p w:rsidR="00000000" w:rsidRPr="00FE4B02" w:rsidP="00FE4B02">
      <w:pPr>
        <w:pStyle w:val="BodyText"/>
      </w:pPr>
      <w:r w:rsidRPr="00FE4B02">
        <w:t>Some jurisdictions require this qualification for licensing purposes. In addition some units in this qualification may have licensing or regulatory requirements, depending on the work context. Local regulations should be checked for details.</w:t>
      </w:r>
    </w:p>
    <w:p w:rsidR="00000000" w:rsidRPr="00FE4B02" w:rsidP="00FE4B02">
      <w:pPr>
        <w:pStyle w:val="AllowPageBreak"/>
      </w:pPr>
    </w:p>
    <w:p w:rsidR="00000000" w:rsidRPr="00FE4B02" w:rsidP="00FE4B02">
      <w:pPr>
        <w:pStyle w:val="Heading1"/>
      </w:pPr>
      <w:bookmarkStart w:id="5" w:name="O_381367"/>
      <w:bookmarkEnd w:id="5"/>
      <w:r w:rsidRPr="00FE4B02">
        <w:t>Entry Requirements</w:t>
      </w:r>
    </w:p>
    <w:p w:rsidR="00000000" w:rsidRPr="00FE4B02" w:rsidP="00FE4B02">
      <w:pPr>
        <w:pStyle w:val="BodyText"/>
      </w:pPr>
      <w:r w:rsidRPr="00FE4B02">
        <w:t>Not Applicable</w:t>
      </w:r>
    </w:p>
    <w:p w:rsidR="00000000" w:rsidRPr="00FE4B02" w:rsidP="00FE4B02">
      <w:pPr>
        <w:pStyle w:val="AllowPageBreak"/>
      </w:pPr>
    </w:p>
    <w:p w:rsidR="00000000" w:rsidRPr="00FE4B02" w:rsidP="00FE4B02">
      <w:pPr>
        <w:pStyle w:val="Heading1"/>
      </w:pPr>
      <w:bookmarkStart w:id="6" w:name="O_381368"/>
      <w:bookmarkEnd w:id="6"/>
      <w:r w:rsidRPr="00FE4B02">
        <w:t>Employability Skills Summary</w:t>
      </w:r>
    </w:p>
    <w:tbl>
      <w:tblPr>
        <w:tblW w:w="9570" w:type="dxa"/>
        <w:tblLayout w:type="fixed"/>
        <w:tblCellMar>
          <w:left w:w="62" w:type="dxa"/>
          <w:right w:w="62" w:type="dxa"/>
        </w:tblCellMar>
        <w:tblLook w:val="0000"/>
      </w:tblPr>
      <w:tblGrid>
        <w:gridCol w:w="2892"/>
        <w:gridCol w:w="6678"/>
      </w:tblGrid>
      <w:tr w:rsidTr="00DB42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EMPLOYABILITY SKILLS QUALIFICATION SUMMARY</w:t>
            </w:r>
          </w:p>
        </w:tc>
      </w:tr>
      <w:tr w:rsidTr="00DB42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The following table contains a summary of the Employability Skills as identified by the Automotive Vehicle Body industry for this qualification. The Employability Skills facets described here are broad industry requirements that may vary depending on quali</w:t>
            </w:r>
            <w:r w:rsidRPr="00FE4B02">
              <w:t>fication packaging options.</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Industry</w:t>
            </w:r>
            <w:r w:rsidRPr="00FE4B02">
              <w:t>/</w:t>
            </w:r>
            <w:r w:rsidRPr="00FE4B02">
              <w:rPr>
                <w:rStyle w:val="SpecialBold"/>
              </w:rPr>
              <w:t>enterprise requirements for this qualification include</w:t>
            </w:r>
            <w:r w:rsidRPr="00FE4B02">
              <w:t>:</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Understanding and carrying out verbal instructions from supervisors and others</w:t>
            </w:r>
          </w:p>
          <w:p w:rsidR="00000000" w:rsidRPr="00FE4B02" w:rsidP="00FE4B02">
            <w:pPr>
              <w:pStyle w:val="ListBullet"/>
            </w:pPr>
            <w:r w:rsidRPr="00FE4B02">
              <w:t>Reading, understanding and completing workplace documentation, forms and records</w:t>
            </w:r>
          </w:p>
          <w:p w:rsidR="00000000" w:rsidRPr="00FE4B02" w:rsidP="00FE4B02">
            <w:pPr>
              <w:pStyle w:val="ListBullet"/>
            </w:pPr>
            <w:r w:rsidRPr="00FE4B02">
              <w:t>Sharing work-related information with other team members using industry terminology</w:t>
            </w:r>
          </w:p>
          <w:p w:rsidR="00000000" w:rsidP="00FE4B02">
            <w:pPr>
              <w:pStyle w:val="ListBullet"/>
              <w:rPr>
                <w:lang w:val="en-NZ"/>
              </w:rPr>
            </w:pPr>
            <w:r w:rsidRPr="00FE4B02">
              <w:t>Communicating with people from a range of social, cultural and ethnic backgrounds</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Contributing positively to the work team environment</w:t>
            </w:r>
          </w:p>
          <w:p w:rsidR="00000000" w:rsidRPr="00FE4B02" w:rsidP="00FE4B02">
            <w:pPr>
              <w:pStyle w:val="ListBullet"/>
            </w:pPr>
            <w:r w:rsidRPr="00FE4B02">
              <w:t>Working effectively with others in a socially diverse environment</w:t>
            </w:r>
          </w:p>
          <w:p w:rsidR="00000000" w:rsidRPr="00FE4B02" w:rsidP="00FE4B02">
            <w:pPr>
              <w:pStyle w:val="ListBullet"/>
            </w:pPr>
            <w:r w:rsidRPr="00FE4B02">
              <w:t>Respecting and understanding the views of others</w:t>
            </w:r>
          </w:p>
          <w:p w:rsidR="00000000" w:rsidRPr="00FE4B02" w:rsidP="00FE4B02">
            <w:pPr>
              <w:pStyle w:val="ListBullet"/>
            </w:pPr>
            <w:r w:rsidRPr="00FE4B02">
              <w:t>Giving, receiving and acting upon feedback</w:t>
            </w:r>
          </w:p>
          <w:p w:rsidR="00000000" w:rsidP="00FE4B02">
            <w:pPr>
              <w:pStyle w:val="ListBullet"/>
              <w:rPr>
                <w:lang w:val="en-NZ"/>
              </w:rPr>
            </w:pPr>
            <w:r w:rsidRPr="00FE4B02">
              <w:t>Identifying and describing own role and rol</w:t>
            </w:r>
            <w:r w:rsidRPr="00FE4B02">
              <w:t>e of others</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Recognising a problem or a potential problem within a vehicle body repair environment</w:t>
            </w:r>
          </w:p>
          <w:p w:rsidR="00000000" w:rsidRPr="00FE4B02" w:rsidP="00FE4B02">
            <w:pPr>
              <w:pStyle w:val="ListBullet"/>
            </w:pPr>
            <w:r w:rsidRPr="00FE4B02">
              <w:t>Seeking information and assistance to solve problems outside own area of responsibility</w:t>
            </w:r>
          </w:p>
          <w:p w:rsidR="00000000" w:rsidP="00FE4B02">
            <w:pPr>
              <w:pStyle w:val="ListBullet"/>
              <w:rPr>
                <w:lang w:val="en-NZ"/>
              </w:rPr>
            </w:pPr>
            <w:r w:rsidRPr="00FE4B02">
              <w:t xml:space="preserve">Solving problems within own area of responsibility </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Suggesting ideas for workplace improvement to supervisors and team members</w:t>
            </w:r>
          </w:p>
          <w:p w:rsidR="00000000" w:rsidRPr="00FE4B02" w:rsidP="00FE4B02">
            <w:pPr>
              <w:pStyle w:val="ListBullet"/>
            </w:pPr>
            <w:r w:rsidRPr="00FE4B02">
              <w:t xml:space="preserve">Positively adapting to changes in workplace procedures and making adjustments to improve own performance </w:t>
            </w:r>
          </w:p>
          <w:p w:rsidR="00000000" w:rsidP="00FE4B02">
            <w:pPr>
              <w:pStyle w:val="ListBullet"/>
              <w:rPr>
                <w:lang w:val="en-NZ"/>
              </w:rPr>
            </w:pPr>
            <w:r w:rsidRPr="00FE4B02">
              <w:t>Taking positive action to report hazards or ris</w:t>
            </w:r>
            <w:r w:rsidRPr="00FE4B02">
              <w:t>k situations to supervisors</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Planning daily work tasks to work safely and manage risks according to workplace procedures</w:t>
            </w:r>
          </w:p>
          <w:p w:rsidR="00000000" w:rsidRPr="00FE4B02" w:rsidP="00FE4B02">
            <w:pPr>
              <w:pStyle w:val="ListBullet"/>
            </w:pPr>
            <w:r w:rsidRPr="00FE4B02">
              <w:t>Prioritising activities to achieve required outcomes</w:t>
            </w:r>
          </w:p>
          <w:p w:rsidR="00000000" w:rsidRPr="00FE4B02" w:rsidP="00FE4B02">
            <w:pPr>
              <w:pStyle w:val="ListBullet"/>
            </w:pPr>
            <w:r w:rsidRPr="00FE4B02">
              <w:t>Planning and organising appropriate equipment and materia</w:t>
            </w:r>
            <w:r w:rsidRPr="00FE4B02">
              <w:t>ls</w:t>
            </w:r>
          </w:p>
          <w:p w:rsidR="00000000" w:rsidP="00FE4B02">
            <w:pPr>
              <w:pStyle w:val="ListBullet"/>
              <w:rPr>
                <w:lang w:val="en-NZ"/>
              </w:rPr>
            </w:pPr>
            <w:r w:rsidRPr="00FE4B02">
              <w:t>Planning ahead to anticipate problems with availability of equipment, materials and personnel to assist</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Following workplace safety requirements and other policies and procedures</w:t>
            </w:r>
          </w:p>
          <w:p w:rsidR="00000000" w:rsidRPr="00FE4B02" w:rsidP="00FE4B02">
            <w:pPr>
              <w:pStyle w:val="ListBullet"/>
            </w:pPr>
            <w:r w:rsidRPr="00FE4B02">
              <w:t>Completing known delegated tasks on time</w:t>
            </w:r>
          </w:p>
          <w:p w:rsidR="00000000" w:rsidRPr="00FE4B02" w:rsidP="00FE4B02">
            <w:pPr>
              <w:pStyle w:val="ListBullet"/>
            </w:pPr>
            <w:r w:rsidRPr="00FE4B02">
              <w:t>Selecting and using appropriate equipment, materials, processes and procedures</w:t>
            </w:r>
          </w:p>
          <w:p w:rsidR="00000000" w:rsidP="00FE4B02">
            <w:pPr>
              <w:pStyle w:val="ListBullet"/>
              <w:rPr>
                <w:lang w:val="en-NZ"/>
              </w:rPr>
            </w:pPr>
            <w:r w:rsidRPr="00FE4B02">
              <w:t>Asking for advice and assistance when appropriate</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Identifying personal strengths and weaknesses</w:t>
            </w:r>
          </w:p>
          <w:p w:rsidR="00000000" w:rsidRPr="00FE4B02" w:rsidP="00FE4B02">
            <w:pPr>
              <w:pStyle w:val="ListBullet"/>
            </w:pPr>
            <w:r w:rsidRPr="00FE4B02">
              <w:t>Acting upon feedback and accepting opportunities to learn to improve w</w:t>
            </w:r>
            <w:r w:rsidRPr="00FE4B02">
              <w:t>ork performance</w:t>
            </w:r>
          </w:p>
          <w:p w:rsidR="00000000" w:rsidP="00FE4B02">
            <w:pPr>
              <w:pStyle w:val="ListBullet"/>
              <w:rPr>
                <w:lang w:val="en-NZ"/>
              </w:rPr>
            </w:pPr>
            <w:r w:rsidRPr="00FE4B02">
              <w:t>Asking questions to gain information and identify sources of information to expand knowledge and understanding</w:t>
            </w:r>
          </w:p>
        </w:tc>
      </w:tr>
      <w:tr w:rsidTr="00DB428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ListBullet"/>
            </w:pPr>
            <w:r w:rsidRPr="00FE4B02">
              <w:t>Appropriately selecting and use tools and equipment</w:t>
            </w:r>
          </w:p>
          <w:p w:rsidR="00000000" w:rsidRPr="00FE4B02" w:rsidP="00FE4B02">
            <w:pPr>
              <w:pStyle w:val="ListBullet"/>
            </w:pPr>
            <w:r w:rsidRPr="00FE4B02">
              <w:t>Recognising and reporting faulty equipment</w:t>
            </w:r>
          </w:p>
          <w:p w:rsidR="00000000" w:rsidRPr="00FE4B02" w:rsidP="00FE4B02">
            <w:pPr>
              <w:pStyle w:val="ListBullet"/>
            </w:pPr>
            <w:r w:rsidRPr="00FE4B02">
              <w:t>Using information and</w:t>
            </w:r>
            <w:r w:rsidRPr="00FE4B02">
              <w:t xml:space="preserve"> communication technology</w:t>
            </w:r>
          </w:p>
        </w:tc>
      </w:tr>
    </w:tbl>
    <w:p w:rsidR="00000000" w:rsidRPr="00FE4B02" w:rsidP="00FE4B02">
      <w:pPr>
        <w:pStyle w:val="BodyText"/>
      </w:pPr>
    </w:p>
    <w:p w:rsidR="00000000" w:rsidRPr="00FE4B02" w:rsidP="00FE4B02">
      <w:pPr>
        <w:pStyle w:val="AllowPageBreak"/>
      </w:pPr>
    </w:p>
    <w:p w:rsidR="00000000" w:rsidRPr="00FE4B02" w:rsidP="00FE4B02">
      <w:pPr>
        <w:pStyle w:val="Heading1"/>
      </w:pPr>
      <w:bookmarkStart w:id="7" w:name="O_381363"/>
      <w:bookmarkEnd w:id="7"/>
      <w:r w:rsidRPr="00FE4B02">
        <w:t>Packaging Rules</w:t>
      </w:r>
    </w:p>
    <w:p w:rsidR="00000000" w:rsidRPr="00FE4B02" w:rsidP="00FE4B02">
      <w:pPr>
        <w:pStyle w:val="BodyText"/>
      </w:pPr>
      <w:r w:rsidRPr="00FE4B02">
        <w:rPr>
          <w:rStyle w:val="SpecialBold"/>
        </w:rPr>
        <w:t>Packaging Rules</w:t>
      </w:r>
    </w:p>
    <w:p w:rsidR="00000000" w:rsidRPr="00FE4B02" w:rsidP="00FE4B02">
      <w:pPr>
        <w:pStyle w:val="BodyText"/>
      </w:pPr>
      <w:r w:rsidRPr="00FE4B02">
        <w:t xml:space="preserve">To be awarded the Certificate II in Automotive Vehicle Body, competency must be achieved in </w:t>
      </w:r>
      <w:r w:rsidRPr="00FE4B02">
        <w:rPr>
          <w:rStyle w:val="SpecialBold"/>
        </w:rPr>
        <w:t>thirteen</w:t>
      </w:r>
      <w:r w:rsidRPr="00FE4B02">
        <w:t xml:space="preserve"> (</w:t>
      </w:r>
      <w:r w:rsidRPr="00FE4B02">
        <w:rPr>
          <w:rStyle w:val="SpecialBold"/>
        </w:rPr>
        <w:t>13</w:t>
      </w:r>
      <w:r w:rsidRPr="00FE4B02">
        <w:t>) units of competency.</w:t>
      </w:r>
    </w:p>
    <w:p w:rsidR="00000000" w:rsidRPr="00FE4B02" w:rsidP="00FE4B02">
      <w:pPr>
        <w:pStyle w:val="BodyText"/>
      </w:pPr>
    </w:p>
    <w:p w:rsidR="00000000" w:rsidRPr="00FE4B02" w:rsidP="00FE4B02">
      <w:pPr>
        <w:pStyle w:val="ListBullet"/>
      </w:pPr>
      <w:r w:rsidRPr="00FE4B02">
        <w:rPr>
          <w:rStyle w:val="SpecialBold"/>
        </w:rPr>
        <w:t>one</w:t>
      </w:r>
      <w:r w:rsidRPr="00FE4B02">
        <w:t xml:space="preserve"> (</w:t>
      </w:r>
      <w:r w:rsidRPr="00FE4B02">
        <w:rPr>
          <w:rStyle w:val="SpecialBold"/>
        </w:rPr>
        <w:t>1</w:t>
      </w:r>
      <w:r w:rsidRPr="00FE4B02">
        <w:t xml:space="preserve">) core unit of competency </w:t>
      </w:r>
    </w:p>
    <w:p w:rsidR="00000000" w:rsidRPr="00FE4B02" w:rsidP="00FE4B02">
      <w:pPr>
        <w:pStyle w:val="ListBullet"/>
      </w:pPr>
      <w:r w:rsidRPr="00FE4B02">
        <w:rPr>
          <w:rStyle w:val="SpecialBold"/>
        </w:rPr>
        <w:t>twelve</w:t>
      </w:r>
      <w:r w:rsidRPr="00FE4B02">
        <w:t xml:space="preserve"> (</w:t>
      </w:r>
      <w:r w:rsidRPr="00FE4B02">
        <w:rPr>
          <w:rStyle w:val="SpecialBold"/>
        </w:rPr>
        <w:t>12</w:t>
      </w:r>
      <w:r w:rsidRPr="00FE4B02">
        <w:t>) elective units of competency, as specified below.</w:t>
      </w:r>
    </w:p>
    <w:p w:rsidR="00000000" w:rsidRPr="00FE4B02" w:rsidP="00FE4B02">
      <w:pPr>
        <w:pStyle w:val="BodyText"/>
      </w:pPr>
    </w:p>
    <w:p w:rsidR="00000000" w:rsidRPr="00FE4B02" w:rsidP="00FE4B02">
      <w:pPr>
        <w:pStyle w:val="ListBullet2"/>
      </w:pPr>
      <w:r w:rsidRPr="00FE4B02">
        <w:rPr>
          <w:rStyle w:val="SpecialBold"/>
        </w:rPr>
        <w:t>one</w:t>
      </w:r>
      <w:r w:rsidRPr="00FE4B02">
        <w:t xml:space="preserve"> (</w:t>
      </w:r>
      <w:r w:rsidRPr="00FE4B02">
        <w:rPr>
          <w:rStyle w:val="SpecialBold"/>
        </w:rPr>
        <w:t>1</w:t>
      </w:r>
      <w:r w:rsidRPr="00FE4B02">
        <w:t>) elective unit of competency from Group A</w:t>
      </w:r>
    </w:p>
    <w:p w:rsidR="00000000" w:rsidRPr="00FE4B02" w:rsidP="00FE4B02">
      <w:pPr>
        <w:pStyle w:val="ListBullet2"/>
      </w:pPr>
      <w:r w:rsidRPr="00FE4B02">
        <w:t xml:space="preserve">a minimum of </w:t>
      </w:r>
      <w:r w:rsidRPr="00FE4B02">
        <w:rPr>
          <w:rStyle w:val="SpecialBold"/>
        </w:rPr>
        <w:t>eight</w:t>
      </w:r>
      <w:r w:rsidRPr="00FE4B02">
        <w:t xml:space="preserve"> (</w:t>
      </w:r>
      <w:r w:rsidRPr="00FE4B02">
        <w:rPr>
          <w:rStyle w:val="SpecialBold"/>
        </w:rPr>
        <w:t>8</w:t>
      </w:r>
      <w:r w:rsidRPr="00FE4B02">
        <w:t>) elective units of competency from Group B</w:t>
      </w:r>
    </w:p>
    <w:p w:rsidR="00000000" w:rsidRPr="00FE4B02" w:rsidP="00FE4B02">
      <w:pPr>
        <w:pStyle w:val="ListBullet2"/>
      </w:pPr>
      <w:r w:rsidRPr="00FE4B02">
        <w:t xml:space="preserve">a maximum of </w:t>
      </w:r>
      <w:r w:rsidRPr="00FE4B02">
        <w:rPr>
          <w:rStyle w:val="SpecialBold"/>
        </w:rPr>
        <w:t>three</w:t>
      </w:r>
      <w:r w:rsidRPr="00FE4B02">
        <w:t xml:space="preserve"> (</w:t>
      </w:r>
      <w:r w:rsidRPr="00FE4B02">
        <w:rPr>
          <w:rStyle w:val="SpecialBold"/>
        </w:rPr>
        <w:t>3</w:t>
      </w:r>
      <w:r w:rsidRPr="00FE4B02">
        <w:t>) elective units from Group C, drawn from any combination of:</w:t>
      </w:r>
    </w:p>
    <w:p w:rsidR="00000000" w:rsidRPr="00FE4B02" w:rsidP="00FE4B02">
      <w:pPr>
        <w:pStyle w:val="ListBullet3"/>
      </w:pPr>
      <w:r w:rsidRPr="00FE4B02">
        <w:t>units not already chosen from Group B</w:t>
      </w:r>
    </w:p>
    <w:p w:rsidR="00000000" w:rsidRPr="00FE4B02" w:rsidP="00FE4B02">
      <w:pPr>
        <w:pStyle w:val="ListBullet3"/>
      </w:pPr>
      <w:r w:rsidRPr="00FE4B02">
        <w:t>relevant units available in this Training Package, other endorsed Training Packages and accredited courses, where those units are aligned to Certificate II and III qualifications</w:t>
      </w:r>
    </w:p>
    <w:p w:rsidR="00000000" w:rsidRPr="00FE4B02" w:rsidP="00FE4B02">
      <w:pPr>
        <w:pStyle w:val="ListBullet2"/>
      </w:pPr>
      <w:r w:rsidRPr="00FE4B02">
        <w:t xml:space="preserve">a maximum of </w:t>
      </w:r>
      <w:r w:rsidRPr="00FE4B02">
        <w:rPr>
          <w:rStyle w:val="SpecialBold"/>
        </w:rPr>
        <w:t>two</w:t>
      </w:r>
      <w:r w:rsidRPr="00FE4B02">
        <w:t xml:space="preserve"> (</w:t>
      </w:r>
      <w:r w:rsidRPr="00FE4B02">
        <w:rPr>
          <w:rStyle w:val="SpecialBold"/>
        </w:rPr>
        <w:t>2</w:t>
      </w:r>
      <w:r w:rsidRPr="00FE4B02">
        <w:t>) elective units may be selected from units aligned to Certificate III qualifications.</w:t>
      </w:r>
    </w:p>
    <w:p w:rsidR="00000000" w:rsidRPr="00FE4B02" w:rsidP="00FE4B02">
      <w:pPr>
        <w:pStyle w:val="BodyText"/>
      </w:pPr>
    </w:p>
    <w:p w:rsidR="00000000" w:rsidRPr="00FE4B02" w:rsidP="00FE4B02">
      <w:pPr>
        <w:pStyle w:val="BodyText"/>
      </w:pPr>
      <w:r w:rsidRPr="00FE4B02">
        <w:rPr>
          <w:rStyle w:val="SpecialBold"/>
        </w:rPr>
        <w:t>Note</w:t>
      </w:r>
      <w:r w:rsidRPr="00FE4B02">
        <w:t xml:space="preserve">: </w:t>
      </w:r>
    </w:p>
    <w:p w:rsidR="00000000" w:rsidRPr="00FE4B02" w:rsidP="00FE4B02">
      <w:pPr>
        <w:pStyle w:val="BodyText"/>
      </w:pPr>
      <w:r w:rsidRPr="00FE4B02">
        <w:t>Where prerequisite units are identified they must be counted in the total number of units required for completion of the qualification.</w:t>
      </w:r>
    </w:p>
    <w:p w:rsidR="00000000" w:rsidRPr="00FE4B02" w:rsidP="00FE4B02">
      <w:pPr>
        <w:pStyle w:val="BodyText"/>
      </w:pPr>
    </w:p>
    <w:p w:rsidR="00000000" w:rsidRPr="00FE4B02" w:rsidP="00FE4B02">
      <w:pPr>
        <w:pStyle w:val="BodyText"/>
      </w:pPr>
      <w:r w:rsidRPr="00FE4B02">
        <w:t>The following units of c</w:t>
      </w:r>
      <w:r w:rsidRPr="00FE4B02">
        <w:t>ompetency must not be chosen together when achieving this qualification:</w:t>
      </w:r>
    </w:p>
    <w:p w:rsidR="00000000" w:rsidRPr="00FE4B02" w:rsidP="00FE4B02">
      <w:pPr>
        <w:pStyle w:val="BodyText"/>
      </w:pPr>
    </w:p>
    <w:tbl>
      <w:tblPr>
        <w:tblW w:w="0" w:type="auto"/>
        <w:tblLayout w:type="fixed"/>
        <w:tblCellMar>
          <w:left w:w="62" w:type="dxa"/>
          <w:right w:w="62" w:type="dxa"/>
        </w:tblCellMar>
        <w:tblLook w:val="0000"/>
      </w:tblPr>
      <w:tblGrid>
        <w:gridCol w:w="2856"/>
        <w:gridCol w:w="5666"/>
      </w:tblGrid>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 xml:space="preserve">Perform soft soldering </w:t>
            </w:r>
          </w:p>
        </w:tc>
      </w:tr>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soft soldering techniques</w:t>
            </w:r>
          </w:p>
        </w:tc>
      </w:tr>
    </w:tbl>
    <w:p w:rsidR="00000000" w:rsidRPr="00FE4B02" w:rsidP="00FE4B02">
      <w:pPr>
        <w:pStyle w:val="BodyText"/>
      </w:pPr>
    </w:p>
    <w:tbl>
      <w:tblPr>
        <w:tblW w:w="0" w:type="auto"/>
        <w:tblLayout w:type="fixed"/>
        <w:tblCellMar>
          <w:left w:w="62" w:type="dxa"/>
          <w:right w:w="62" w:type="dxa"/>
        </w:tblCellMar>
        <w:tblLook w:val="0000"/>
      </w:tblPr>
      <w:tblGrid>
        <w:gridCol w:w="2856"/>
        <w:gridCol w:w="5666"/>
      </w:tblGrid>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routine oxy acetylene welding</w:t>
            </w:r>
          </w:p>
        </w:tc>
      </w:tr>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oxy acetylene welding, thermal cutting and thermal heating procedures</w:t>
            </w:r>
          </w:p>
        </w:tc>
      </w:tr>
    </w:tbl>
    <w:p w:rsidR="00000000" w:rsidRPr="00FE4B02" w:rsidP="00FE4B02">
      <w:pPr>
        <w:pStyle w:val="BodyText"/>
      </w:pPr>
    </w:p>
    <w:tbl>
      <w:tblPr>
        <w:tblW w:w="0" w:type="auto"/>
        <w:tblLayout w:type="fixed"/>
        <w:tblCellMar>
          <w:left w:w="62" w:type="dxa"/>
          <w:right w:w="62" w:type="dxa"/>
        </w:tblCellMar>
        <w:tblLook w:val="0000"/>
      </w:tblPr>
      <w:tblGrid>
        <w:gridCol w:w="2856"/>
        <w:gridCol w:w="5666"/>
      </w:tblGrid>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manual heating and thermal cutting</w:t>
            </w:r>
          </w:p>
        </w:tc>
      </w:tr>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oxy acetylene welding, thermal cutting and thermal heating procedures</w:t>
            </w:r>
          </w:p>
        </w:tc>
      </w:tr>
    </w:tbl>
    <w:p w:rsidR="00000000" w:rsidRPr="00FE4B02" w:rsidP="00FE4B02">
      <w:pPr>
        <w:pStyle w:val="BodyText"/>
      </w:pPr>
    </w:p>
    <w:tbl>
      <w:tblPr>
        <w:tblW w:w="0" w:type="auto"/>
        <w:tblLayout w:type="fixed"/>
        <w:tblCellMar>
          <w:left w:w="62" w:type="dxa"/>
          <w:right w:w="62" w:type="dxa"/>
        </w:tblCellMar>
        <w:tblLook w:val="0000"/>
      </w:tblPr>
      <w:tblGrid>
        <w:gridCol w:w="2856"/>
        <w:gridCol w:w="5666"/>
      </w:tblGrid>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Weld using gas m</w:t>
            </w:r>
            <w:r w:rsidRPr="00FE4B02">
              <w:t>etal arc welding process</w:t>
            </w:r>
          </w:p>
        </w:tc>
      </w:tr>
      <w:tr w:rsidTr="00DB428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gas metal arc (MIG) welding procedures</w:t>
            </w:r>
          </w:p>
        </w:tc>
      </w:tr>
    </w:tbl>
    <w:p w:rsidR="00000000" w:rsidRPr="00FE4B02" w:rsidP="00FE4B02">
      <w:pPr>
        <w:pStyle w:val="BodyText"/>
      </w:pPr>
    </w:p>
    <w:p w:rsidR="00000000" w:rsidRPr="00FE4B02" w:rsidP="00FE4B02">
      <w:pPr>
        <w:pStyle w:val="BodyText"/>
      </w:pPr>
      <w:r w:rsidRPr="00FE4B02">
        <w:rPr>
          <w:rStyle w:val="SpecialBold"/>
        </w:rPr>
        <w:t>Core units of competency</w:t>
      </w:r>
    </w:p>
    <w:p w:rsidR="00000000" w:rsidRPr="00FE4B02" w:rsidP="00FE4B02">
      <w:pPr>
        <w:pStyle w:val="ListBullet"/>
      </w:pPr>
      <w:r w:rsidRPr="00FE4B02">
        <w:t xml:space="preserve">Complete the following </w:t>
      </w:r>
      <w:r w:rsidRPr="00FE4B02">
        <w:rPr>
          <w:rStyle w:val="SpecialBold"/>
        </w:rPr>
        <w:t>one</w:t>
      </w:r>
      <w:r w:rsidRPr="00FE4B02">
        <w:t xml:space="preserve"> (</w:t>
      </w:r>
      <w:r w:rsidRPr="00FE4B02">
        <w:rPr>
          <w:rStyle w:val="SpecialBold"/>
        </w:rPr>
        <w:t>1</w:t>
      </w:r>
      <w:r w:rsidRPr="00FE4B02">
        <w:t>) unit of competency.</w:t>
      </w:r>
    </w:p>
    <w:p w:rsidR="00000000" w:rsidRPr="00FE4B02" w:rsidP="00FE4B02">
      <w:pPr>
        <w:pStyle w:val="BodyText"/>
      </w:pPr>
    </w:p>
    <w:tbl>
      <w:tblPr>
        <w:tblW w:w="0" w:type="auto"/>
        <w:tblLayout w:type="fixed"/>
        <w:tblCellMar>
          <w:left w:w="62" w:type="dxa"/>
          <w:right w:w="62" w:type="dxa"/>
        </w:tblCellMar>
        <w:tblLook w:val="0000"/>
      </w:tblPr>
      <w:tblGrid>
        <w:gridCol w:w="2868"/>
        <w:gridCol w:w="5682"/>
      </w:tblGrid>
      <w:tr w:rsidTr="00DB428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AURC270103A</w:t>
            </w:r>
          </w:p>
        </w:tc>
        <w:tc>
          <w:tcPr>
            <w:tcW w:w="5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Apply safe working practices</w:t>
            </w:r>
          </w:p>
        </w:tc>
      </w:tr>
    </w:tbl>
    <w:p w:rsidR="00000000" w:rsidRPr="00FE4B02" w:rsidP="00FE4B02">
      <w:pPr>
        <w:pStyle w:val="BodyText"/>
      </w:pPr>
    </w:p>
    <w:p w:rsidR="00000000" w:rsidRPr="00FE4B02" w:rsidP="00FE4B02">
      <w:pPr>
        <w:pStyle w:val="BodyText"/>
      </w:pPr>
      <w:r w:rsidRPr="00FE4B02">
        <w:rPr>
          <w:rStyle w:val="SpecialBold"/>
        </w:rPr>
        <w:t>Elective units of competency</w:t>
      </w:r>
    </w:p>
    <w:p w:rsidR="00000000" w:rsidRPr="00FE4B02" w:rsidP="00FE4B02">
      <w:pPr>
        <w:pStyle w:val="BodyText"/>
      </w:pPr>
    </w:p>
    <w:p w:rsidR="00000000" w:rsidRPr="00FE4B02" w:rsidP="00FE4B02">
      <w:pPr>
        <w:pStyle w:val="BodyText"/>
      </w:pPr>
      <w:r w:rsidRPr="00FE4B02">
        <w:rPr>
          <w:rStyle w:val="SpecialBold"/>
        </w:rPr>
        <w:t>Group A</w:t>
      </w:r>
      <w:r w:rsidRPr="00FE4B02">
        <w:t xml:space="preserve"> - </w:t>
      </w:r>
      <w:r w:rsidRPr="00FE4B02">
        <w:rPr>
          <w:rStyle w:val="SpecialBold"/>
        </w:rPr>
        <w:t>Elective units</w:t>
      </w:r>
      <w:r w:rsidRPr="00FE4B02">
        <w:t xml:space="preserve"> </w:t>
      </w:r>
    </w:p>
    <w:p w:rsidR="00000000" w:rsidRPr="00FE4B02" w:rsidP="00FE4B02">
      <w:pPr>
        <w:pStyle w:val="ListBullet"/>
      </w:pPr>
      <w:r w:rsidRPr="00FE4B02">
        <w:t xml:space="preserve">Complete </w:t>
      </w:r>
      <w:r w:rsidRPr="00FE4B02">
        <w:rPr>
          <w:rStyle w:val="SpecialBold"/>
        </w:rPr>
        <w:t>one</w:t>
      </w:r>
      <w:r w:rsidRPr="00FE4B02">
        <w:t xml:space="preserve"> (</w:t>
      </w:r>
      <w:r w:rsidRPr="00FE4B02">
        <w:rPr>
          <w:rStyle w:val="SpecialBold"/>
        </w:rPr>
        <w:t>1</w:t>
      </w:r>
      <w:r w:rsidRPr="00FE4B02">
        <w:t>) unit of competency from the following list.</w:t>
      </w:r>
    </w:p>
    <w:p w:rsidR="00000000" w:rsidRPr="00FE4B02" w:rsidP="00FE4B02">
      <w:pPr>
        <w:pStyle w:val="BodyText"/>
      </w:pPr>
    </w:p>
    <w:tbl>
      <w:tblPr>
        <w:tblW w:w="0" w:type="auto"/>
        <w:tblLayout w:type="fixed"/>
        <w:tblCellMar>
          <w:left w:w="62" w:type="dxa"/>
          <w:right w:w="62" w:type="dxa"/>
        </w:tblCellMar>
        <w:tblLook w:val="0000"/>
      </w:tblPr>
      <w:tblGrid>
        <w:gridCol w:w="2868"/>
        <w:gridCol w:w="5654"/>
      </w:tblGrid>
      <w:tr w:rsidTr="00DB428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environmental regulations and best practice in a workplace or business</w:t>
            </w:r>
          </w:p>
        </w:tc>
      </w:tr>
      <w:tr w:rsidTr="00DB428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AURT271781A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Implement and monitor environmental regulations in the automotive mechanical industry</w:t>
            </w:r>
          </w:p>
        </w:tc>
      </w:tr>
      <w:tr w:rsidTr="00DB428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AURV271403A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Apply environmental regulations and best practice in the body repair industry</w:t>
            </w:r>
          </w:p>
        </w:tc>
      </w:tr>
    </w:tbl>
    <w:p w:rsidR="00000000" w:rsidRPr="00FE4B02" w:rsidP="00FE4B02">
      <w:pPr>
        <w:pStyle w:val="BodyText"/>
      </w:pPr>
    </w:p>
    <w:p w:rsidR="00000000" w:rsidRPr="00FE4B02" w:rsidP="00FE4B02">
      <w:pPr>
        <w:pStyle w:val="BodyText"/>
      </w:pPr>
      <w:r w:rsidRPr="00FE4B02">
        <w:rPr>
          <w:rStyle w:val="SpecialBold"/>
        </w:rPr>
        <w:t>Group B</w:t>
      </w:r>
      <w:r w:rsidRPr="00FE4B02">
        <w:t xml:space="preserve"> - </w:t>
      </w:r>
      <w:r w:rsidRPr="00FE4B02">
        <w:rPr>
          <w:rStyle w:val="SpecialBold"/>
        </w:rPr>
        <w:t>Other elective units</w:t>
      </w:r>
    </w:p>
    <w:p w:rsidR="00000000" w:rsidRPr="00FE4B02" w:rsidP="00FE4B02">
      <w:pPr>
        <w:pStyle w:val="ListBullet"/>
      </w:pPr>
      <w:r w:rsidRPr="00FE4B02">
        <w:t xml:space="preserve">Complete a minimum of </w:t>
      </w:r>
      <w:r w:rsidRPr="00FE4B02">
        <w:rPr>
          <w:rStyle w:val="SpecialBold"/>
        </w:rPr>
        <w:t>eight</w:t>
      </w:r>
      <w:r w:rsidRPr="00FE4B02">
        <w:t xml:space="preserve"> (</w:t>
      </w:r>
      <w:r w:rsidRPr="00FE4B02">
        <w:rPr>
          <w:rStyle w:val="SpecialBold"/>
        </w:rPr>
        <w:t>8</w:t>
      </w:r>
      <w:r w:rsidRPr="00FE4B02">
        <w:t>) units of comp</w:t>
      </w:r>
      <w:r w:rsidRPr="00FE4B02">
        <w:t>etency from the following lists.</w:t>
      </w:r>
    </w:p>
    <w:p w:rsidR="00000000" w:rsidRPr="00FE4B02" w:rsidP="00FE4B02">
      <w:pPr>
        <w:pStyle w:val="BodyText"/>
      </w:pPr>
    </w:p>
    <w:tbl>
      <w:tblPr>
        <w:tblW w:w="9294" w:type="dxa"/>
        <w:tblLayout w:type="fixed"/>
        <w:tblCellMar>
          <w:left w:w="62" w:type="dxa"/>
          <w:right w:w="62" w:type="dxa"/>
        </w:tblCellMar>
        <w:tblLook w:val="0000"/>
      </w:tblPr>
      <w:tblGrid>
        <w:gridCol w:w="2907"/>
        <w:gridCol w:w="6387"/>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Body repair</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AURV225908A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panel repairs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AURV226108A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pre-repair operations (vehicle body)</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AURV226864A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replace and realign bolt-on panels, sections and fittings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AURV226965A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replace/fit protector mouldings, transfers and decals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AURV227064A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mechanical units/assemblies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AURV324431A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Install vehicle sunroofs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AURV325808A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paint-less dent repairs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AURV326266AA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body</w:t>
            </w:r>
            <w:r w:rsidRPr="00FE4B02">
              <w:t xml:space="preserve"> panels (beating and split repair)</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AURV326266BA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body panels (metal finishing)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AURV326266CA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body panels (incorporating filler)</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AURV326266DA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body panels/components (thermo plastic)</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AURV326366AB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Repair/replace structural damage (weldi</w:t>
            </w:r>
            <w:r w:rsidRPr="00FE4B02">
              <w:t>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AURV326366BA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Repair/replace structural damage (riveting)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AURV326367B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Replace major welded panels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AURV326466A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body components using lead wiping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AURV326508A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vehicle body misalignment</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AURV326708A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major sectional repair</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AURV326964A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adhesive bonded panels and structures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AURV327164A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supplementary restraint systems (SRS)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AURV327231A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Install vehicle body component seals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AURV327366A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corroded panels and components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AURV327466AA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aluminium body panels (finishing)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AURV327466BA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aluminium body panels (filling)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AURV328166A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and align motorcycle frames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AURV328366A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Repair chassis/frame and associated components</w:t>
            </w:r>
          </w:p>
        </w:tc>
      </w:tr>
    </w:tbl>
    <w:p w:rsidR="00000000" w:rsidRPr="00FE4B02" w:rsidP="00FE4B02">
      <w:pPr>
        <w:pStyle w:val="BodyText"/>
      </w:pPr>
    </w:p>
    <w:tbl>
      <w:tblPr>
        <w:tblW w:w="9294" w:type="dxa"/>
        <w:tblLayout w:type="fixed"/>
        <w:tblCellMar>
          <w:left w:w="62" w:type="dxa"/>
          <w:right w:w="62" w:type="dxa"/>
        </w:tblCellMar>
        <w:tblLook w:val="0000"/>
      </w:tblPr>
      <w:tblGrid>
        <w:gridCol w:w="2760"/>
        <w:gridCol w:w="6534"/>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Common</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AURC252327A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Identify, clarify and resolve problems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AURC270688A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Work effectively with others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AURC270789A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Communicate effectively in the workplace</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AURC270889A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Communicate business information</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AURC365722A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Estimate complex jobs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AURS241608A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cash and/or credit/funds transfer transactions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AURS252290A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Process customer complaints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AURV232165A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replace, fit and test components/accessories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BSBCMN311B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Maintain workplace safety</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BSBFLM312C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Contribute to team effectiveness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BSBWOR30</w:t>
            </w:r>
            <w:r w:rsidRPr="00FE4B02">
              <w:t>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Organise personal work priorities and development</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HLTFA301B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first aid</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MSAENV272B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Participate in environmentally sustainable work practices</w:t>
            </w:r>
          </w:p>
        </w:tc>
      </w:tr>
    </w:tbl>
    <w:p w:rsidR="00000000" w:rsidRPr="00FE4B02" w:rsidP="00FE4B02">
      <w:pPr>
        <w:pStyle w:val="BodyText"/>
      </w:pPr>
    </w:p>
    <w:tbl>
      <w:tblPr>
        <w:tblW w:w="9294" w:type="dxa"/>
        <w:tblLayout w:type="fixed"/>
        <w:tblCellMar>
          <w:left w:w="62" w:type="dxa"/>
          <w:right w:w="62" w:type="dxa"/>
        </w:tblCellMar>
        <w:tblLook w:val="0000"/>
      </w:tblPr>
      <w:tblGrid>
        <w:gridCol w:w="2748"/>
        <w:gridCol w:w="6546"/>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Electrical</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AURE218664A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electrical/electronic units/assemblies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AURE218676A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Test, service and charge batteries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AURE218708A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repairs to single electrical circuits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AURE218764A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refit and test electrical componentry for normal operation following body repair activities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AURE220140A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Manufacture and repair wiring harness/looms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AURE224008A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soldering of electrical wiring/circuits</w:t>
            </w:r>
          </w:p>
        </w:tc>
      </w:tr>
    </w:tbl>
    <w:p w:rsidR="00000000" w:rsidRPr="00FE4B02" w:rsidP="00FE4B02">
      <w:pPr>
        <w:pStyle w:val="BodyText"/>
      </w:pPr>
    </w:p>
    <w:tbl>
      <w:tblPr>
        <w:tblW w:w="9294" w:type="dxa"/>
        <w:tblLayout w:type="fixed"/>
        <w:tblCellMar>
          <w:left w:w="62" w:type="dxa"/>
          <w:right w:w="62" w:type="dxa"/>
        </w:tblCellMar>
        <w:tblLook w:val="0000"/>
      </w:tblPr>
      <w:tblGrid>
        <w:gridCol w:w="2748"/>
        <w:gridCol w:w="6546"/>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Fabrication</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AURV224508A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fabrication of components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AURV324708A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wood working operations for fabrication</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AURV324766A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plugs, moulds, frames and flooring using wood materials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AURV324823A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composite material components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AURV324866A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Repair fibreglass/composite material components</w:t>
            </w:r>
          </w:p>
        </w:tc>
      </w:tr>
    </w:tbl>
    <w:p w:rsidR="00000000" w:rsidRPr="00FE4B02" w:rsidP="00FE4B02">
      <w:pPr>
        <w:pStyle w:val="BodyText"/>
      </w:pPr>
    </w:p>
    <w:tbl>
      <w:tblPr>
        <w:tblW w:w="9294" w:type="dxa"/>
        <w:tblLayout w:type="fixed"/>
        <w:tblCellMar>
          <w:left w:w="62" w:type="dxa"/>
          <w:right w:w="62" w:type="dxa"/>
        </w:tblCellMar>
        <w:tblLook w:val="0000"/>
      </w:tblPr>
      <w:tblGrid>
        <w:gridCol w:w="2760"/>
        <w:gridCol w:w="6534"/>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General mechanical</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AURC252103A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basic automotive troubleshooting processes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AURT222170A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Service air compressors and air lines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AURT225156A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Read and interpret engineering drawings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AURT225667A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Use and maintain measuring equipment</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AURT270278A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Use and maintain workplace tools and equipment</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AURT325149A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engineering drawings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AURT365130A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Inspect vehicle systems and determine preferred repair action</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AURT365508A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vehicle safety/roadworthy inspection</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AURT366108A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diagnosti</w:t>
            </w:r>
            <w:r w:rsidRPr="00FE4B02">
              <w:t>c procedures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AURV228630A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Inspect vehicle for saleable items and determine their value</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MEM09002B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Interpret technical drawing</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MEM12023A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engineering measurements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MEM18001C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Use hand tools</w:t>
            </w:r>
          </w:p>
        </w:tc>
      </w:tr>
      <w:tr w:rsidTr="00DB428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MEM18002B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Use power tools/hand held operations</w:t>
            </w:r>
          </w:p>
        </w:tc>
      </w:tr>
    </w:tbl>
    <w:p w:rsidR="00000000" w:rsidRPr="00FE4B02" w:rsidP="00FE4B02">
      <w:pPr>
        <w:pStyle w:val="BodyText"/>
      </w:pPr>
    </w:p>
    <w:tbl>
      <w:tblPr>
        <w:tblW w:w="9294" w:type="dxa"/>
        <w:tblLayout w:type="fixed"/>
        <w:tblCellMar>
          <w:left w:w="62" w:type="dxa"/>
          <w:right w:w="62" w:type="dxa"/>
        </w:tblCellMar>
        <w:tblLook w:val="0000"/>
      </w:tblPr>
      <w:tblGrid>
        <w:gridCol w:w="2748"/>
        <w:gridCol w:w="6546"/>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Glass</w:t>
            </w:r>
            <w:r w:rsidRPr="00FE4B02">
              <w:t>/</w:t>
            </w:r>
            <w:r w:rsidRPr="00FE4B02">
              <w:rPr>
                <w:rStyle w:val="SpecialBold"/>
              </w:rPr>
              <w:t>windscreens</w:t>
            </w:r>
            <w:r w:rsidRPr="00FE4B02">
              <w:t>/</w:t>
            </w:r>
            <w:r w:rsidRPr="00FE4B02">
              <w:rPr>
                <w:rStyle w:val="SpecialBold"/>
              </w:rPr>
              <w:t>tinting</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AURV233163A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rear vision mirrors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AURV233166A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laminated glass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AURV233363A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rubber glazed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AURV233463A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butyl sealed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AURV233563A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direct glazed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AURV233663A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framed type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AURV233849A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surfaces and apply window tinting</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AURV333215A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Cut and process flat laminated glass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AURV333763A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fixed body glass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AURV333863A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movable body glass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AURV334031A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Install side windows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AURV334163A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rubber and urethane (heavy vehicle) glazed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AURV334263A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install 'large' vehicle windscreens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PRMCL09B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Clean glass sur</w:t>
            </w:r>
            <w:r w:rsidRPr="00FE4B02">
              <w:t xml:space="preserve">faces </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LMFGG2005C</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 xml:space="preserve">Move glass sheets by hand </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LMFGG3001C</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 xml:space="preserve">Store and handle glass </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LMFGG3002C</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 xml:space="preserve">Assess glass and glazing requirements </w:t>
            </w:r>
          </w:p>
        </w:tc>
      </w:tr>
    </w:tbl>
    <w:p w:rsidR="00000000" w:rsidRPr="00FE4B02" w:rsidP="00FE4B02">
      <w:pPr>
        <w:pStyle w:val="BodyText"/>
      </w:pPr>
    </w:p>
    <w:tbl>
      <w:tblPr>
        <w:tblW w:w="9294" w:type="dxa"/>
        <w:tblLayout w:type="fixed"/>
        <w:tblCellMar>
          <w:left w:w="62" w:type="dxa"/>
          <w:right w:w="62" w:type="dxa"/>
        </w:tblCellMar>
        <w:tblLook w:val="0000"/>
      </w:tblPr>
      <w:tblGrid>
        <w:gridCol w:w="2907"/>
        <w:gridCol w:w="6387"/>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Paint</w:t>
            </w:r>
            <w:r w:rsidRPr="00FE4B02">
              <w:t>/</w:t>
            </w:r>
            <w:r w:rsidRPr="00FE4B02">
              <w:rPr>
                <w:rStyle w:val="SpecialBold"/>
              </w:rPr>
              <w:t>refinish</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AURV229503A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paint removal methods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AURV229603AA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acrylic lacquer refinishing materials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AURV229608A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masking procedures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AURV229749A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spray painting materials and equipment</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AURV229803AA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fundamental colour matching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AURV230203A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rust prevention and sound deadening materials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AURV230349A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vehicle co</w:t>
            </w:r>
            <w:r w:rsidRPr="00FE4B02">
              <w:t>mponents for paint repairs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AURV230449A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paint touch-up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AURV232108A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custom graphics design and layout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AURV232208A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fundamental airbrush application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AURV329549A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spray booths and paint drying equipment</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AURV329603BA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solid acrylic enamel refinishing materials (two component system)</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AURV329603CA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clear over base refinishing materials (two component system)</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AURV329603DA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air dry and polyureth</w:t>
            </w:r>
            <w:r w:rsidRPr="00FE4B02">
              <w:t>ane enamel refinishing materials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AURV329603EA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clear over base multi layer/pearl refinishing materials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AURV329603FA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water based refinishing materials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AURV329649A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substrate for refinishing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AURV329803BA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multi layer/clear over base colour matching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AURV329803CA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solid colour matching techniques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AURV329903AA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paint rectification and touch up work for solids (two component system)</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AURV329903BA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paint rectification an</w:t>
            </w:r>
            <w:r w:rsidRPr="00FE4B02">
              <w:t>d touch up work for clear over base (two component system)</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AURV329903CA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paint rectification and touch up work for multi layer/pearl (two component system)</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AURV330149A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and paint plastic components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AURV330508A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denibbing, buffing and polishing</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AURV332308A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Carry out custom painting techniques</w:t>
            </w:r>
          </w:p>
        </w:tc>
      </w:tr>
    </w:tbl>
    <w:p w:rsidR="00000000" w:rsidRPr="00FE4B02" w:rsidP="00FE4B02">
      <w:pPr>
        <w:pStyle w:val="BodyText"/>
      </w:pPr>
    </w:p>
    <w:tbl>
      <w:tblPr>
        <w:tblW w:w="9294" w:type="dxa"/>
        <w:tblLayout w:type="fixed"/>
        <w:tblCellMar>
          <w:left w:w="62" w:type="dxa"/>
          <w:right w:w="62" w:type="dxa"/>
        </w:tblCellMar>
        <w:tblLook w:val="0000"/>
      </w:tblPr>
      <w:tblGrid>
        <w:gridCol w:w="2919"/>
        <w:gridCol w:w="6375"/>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Trimming</w:t>
            </w:r>
            <w:r w:rsidRPr="00FE4B02">
              <w:t xml:space="preserve"> </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AURV230608A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sewing repairs and alterations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AURV230708A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trim repairs and alterations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AURV230864A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vehicle interior trim components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AURV231208A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trimming of vehicle components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AURV231268A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Select and apply trim/fabric materials and determine attachment methods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AURV231368A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Select and apply trim/fabric adhesives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AURV330964A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vehicle head lining</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AURV331066A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Repair seat frames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AURV331108A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sewing operations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AURV331423AA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loose and fitted covers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AURV331423BA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marine covers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AURV331423CA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canvas products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AURV331423DA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frame structures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AURV331423EA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floor coverings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AURV331423FA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Fabricate and install hoods (soft tops)</w:t>
            </w:r>
          </w:p>
        </w:tc>
      </w:tr>
      <w:tr w:rsidTr="00DB428B">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AURV331423GA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Fabricate and install canopies and curtains</w:t>
            </w:r>
          </w:p>
        </w:tc>
      </w:tr>
    </w:tbl>
    <w:p w:rsidR="00000000" w:rsidRPr="00FE4B02" w:rsidP="00FE4B02">
      <w:pPr>
        <w:pStyle w:val="BodyText"/>
      </w:pPr>
    </w:p>
    <w:tbl>
      <w:tblPr>
        <w:tblW w:w="9294" w:type="dxa"/>
        <w:tblLayout w:type="fixed"/>
        <w:tblCellMar>
          <w:left w:w="62" w:type="dxa"/>
          <w:right w:w="62" w:type="dxa"/>
        </w:tblCellMar>
        <w:tblLook w:val="0000"/>
      </w:tblPr>
      <w:tblGrid>
        <w:gridCol w:w="2907"/>
        <w:gridCol w:w="6387"/>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Vehicle presentation</w:t>
            </w:r>
            <w:r w:rsidRPr="00FE4B02">
              <w:t xml:space="preserve"> </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AURV231649A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Prepare vehicle/component/equipment for customer use</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AURV231786AA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Wash/clean vehicle body and door cavities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AURV231786BA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Wash/clean vehicle engine and engine compartment</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AURV231786CA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Wash/clean vehicle underbody</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AURV231809AA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Clean and finish plastic trim and fittings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AURV231809BA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Clean and finish vehicle interior trim and seats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AURV231809CA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Clean and polish vehicle exterior paint</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AURV231964A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and replace seats and internal fittings</w:t>
            </w:r>
          </w:p>
        </w:tc>
      </w:tr>
      <w:tr w:rsidTr="00DB428B">
        <w:tblPrEx>
          <w:tblW w:w="9294" w:type="dxa"/>
          <w:tblLayout w:type="fixed"/>
          <w:tblCellMar>
            <w:left w:w="62" w:type="dxa"/>
            <w:right w:w="62" w:type="dxa"/>
          </w:tblCellMar>
          <w:tblLook w:val="0000"/>
        </w:tblPrEx>
        <w:tc>
          <w:tcPr>
            <w:tcW w:w="2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AURV331987A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Restore ve</w:t>
            </w:r>
            <w:r w:rsidRPr="00FE4B02">
              <w:t>hicle exterior paint</w:t>
            </w:r>
          </w:p>
        </w:tc>
      </w:tr>
    </w:tbl>
    <w:p w:rsidR="00000000" w:rsidRPr="00FE4B02" w:rsidP="00FE4B02">
      <w:pPr>
        <w:pStyle w:val="BodyText"/>
      </w:pPr>
    </w:p>
    <w:tbl>
      <w:tblPr>
        <w:tblW w:w="9294" w:type="dxa"/>
        <w:tblLayout w:type="fixed"/>
        <w:tblCellMar>
          <w:left w:w="62" w:type="dxa"/>
          <w:right w:w="62" w:type="dxa"/>
        </w:tblCellMar>
        <w:tblLook w:val="0000"/>
      </w:tblPr>
      <w:tblGrid>
        <w:gridCol w:w="2748"/>
        <w:gridCol w:w="6546"/>
      </w:tblGrid>
      <w:tr w:rsidTr="00DB428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Vehicle salvage</w:t>
            </w:r>
            <w:r w:rsidRPr="00FE4B02">
              <w:t xml:space="preserve"> </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AURV228603A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legal requirements for vehicle dismantlers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AURV228617A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Disassemble and test vehicle units/components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AURV228662A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Remove salvageable components</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AURV328916A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Determine vehicle rescue method and ascertain cost</w:t>
            </w:r>
          </w:p>
        </w:tc>
      </w:tr>
      <w:tr w:rsidTr="00DB428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AURV328961A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t>Recover vehicle</w:t>
            </w:r>
          </w:p>
        </w:tc>
      </w:tr>
    </w:tbl>
    <w:p w:rsidR="00000000" w:rsidRPr="00FE4B02" w:rsidP="00FE4B02">
      <w:pPr>
        <w:pStyle w:val="BodyText"/>
      </w:pPr>
    </w:p>
    <w:tbl>
      <w:tblPr>
        <w:tblW w:w="9287" w:type="dxa"/>
        <w:tblLayout w:type="fixed"/>
        <w:tblCellMar>
          <w:left w:w="62" w:type="dxa"/>
          <w:right w:w="62" w:type="dxa"/>
        </w:tblCellMar>
        <w:tblLook w:val="0000"/>
      </w:tblPr>
      <w:tblGrid>
        <w:gridCol w:w="2748"/>
        <w:gridCol w:w="4362"/>
        <w:gridCol w:w="2177"/>
      </w:tblGrid>
      <w:tr w:rsidTr="00DB428B">
        <w:tblPrEx>
          <w:tblW w:w="9287" w:type="dxa"/>
          <w:tblLayout w:type="fixed"/>
          <w:tblCellMar>
            <w:left w:w="62" w:type="dxa"/>
            <w:right w:w="62" w:type="dxa"/>
          </w:tblCellMar>
          <w:tblLook w:val="0000"/>
        </w:tblPrEx>
        <w:trPr>
          <w:tblHeader/>
        </w:trPr>
        <w:tc>
          <w:tcPr>
            <w:tcW w:w="71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r w:rsidRPr="00FE4B02">
              <w:rPr>
                <w:rStyle w:val="SpecialBold"/>
              </w:rPr>
              <w:t>Welding</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rPr>
                <w:rStyle w:val="SpecialBold"/>
              </w:rPr>
              <w:t>Prerequisites</w:t>
            </w: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AURV223608A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oxy acetylene welding, thermal cutting and thermal heating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AURV223808A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soft soldering techniques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AURV281108A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manual metal arc welding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AURV281208A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brazing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AURV281308A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gas metal arc (MIG) welding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AURV281408A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gas tungsten arc (TIG) welding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AURV281508A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spot welding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AURV323908A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Carry out thermoplastic welding procedures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MEM05003B</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 xml:space="preserve">Perform soft soldering </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MEM05004C</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routine oxy acetylene welding</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MEM05007C</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manual heating and thermal cutting</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MEM05017D</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Weld using gas metal arc welding process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MEM05050B MEM05051A MEM05052A MEM12023A MEM18001C MEM18002B MEM09002B</w:t>
            </w: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MEM05050B</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Perform routine gas metal arc welding</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MEM05051A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Select welding processes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p>
        </w:tc>
      </w:tr>
      <w:tr w:rsidTr="00DB428B">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MEM05052A</w:t>
            </w:r>
          </w:p>
        </w:tc>
        <w:tc>
          <w:tcPr>
            <w:tcW w:w="4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B02">
            <w:pPr>
              <w:pStyle w:val="BodyText"/>
              <w:rPr>
                <w:lang w:val="en-NZ"/>
              </w:rPr>
            </w:pPr>
            <w:r w:rsidRPr="00FE4B02">
              <w:t>Apply safe welding practices</w:t>
            </w:r>
          </w:p>
        </w:tc>
        <w:tc>
          <w:tcPr>
            <w:tcW w:w="2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B02" w:rsidP="00FE4B02">
            <w:pPr>
              <w:pStyle w:val="BodyText"/>
            </w:pPr>
          </w:p>
        </w:tc>
      </w:tr>
    </w:tbl>
    <w:p w:rsidR="00000000" w:rsidRPr="00FE4B02" w:rsidP="00FE4B02">
      <w:pPr>
        <w:pStyle w:val="BodyText"/>
      </w:pPr>
    </w:p>
    <w:p w:rsidR="00000000" w:rsidRPr="00FE4B02" w:rsidP="00FE4B02">
      <w:pPr>
        <w:pStyle w:val="BodyText"/>
      </w:pPr>
      <w:r w:rsidRPr="00FE4B02">
        <w:rPr>
          <w:rStyle w:val="SpecialBold"/>
        </w:rPr>
        <w:t>Group C</w:t>
      </w:r>
      <w:r w:rsidRPr="00FE4B02">
        <w:t xml:space="preserve"> - </w:t>
      </w:r>
      <w:r w:rsidRPr="00FE4B02">
        <w:rPr>
          <w:rStyle w:val="SpecialBold"/>
        </w:rPr>
        <w:t>Balance of units</w:t>
      </w:r>
    </w:p>
    <w:p w:rsidR="00000000" w:rsidRPr="00FE4B02" w:rsidP="00FE4B02">
      <w:pPr>
        <w:pStyle w:val="ListBullet"/>
      </w:pPr>
      <w:r w:rsidRPr="00FE4B02">
        <w:t xml:space="preserve">The balance of units, to a maximum of </w:t>
      </w:r>
      <w:r w:rsidRPr="00FE4B02">
        <w:rPr>
          <w:rStyle w:val="SpecialBold"/>
        </w:rPr>
        <w:t>three</w:t>
      </w:r>
      <w:r w:rsidRPr="00FE4B02">
        <w:t xml:space="preserve"> (</w:t>
      </w:r>
      <w:r w:rsidRPr="00FE4B02">
        <w:rPr>
          <w:rStyle w:val="SpecialBold"/>
        </w:rPr>
        <w:t>3</w:t>
      </w:r>
      <w:r w:rsidRPr="00FE4B02">
        <w:t>), may be drawn from any combination of:</w:t>
      </w:r>
    </w:p>
    <w:p w:rsidR="00000000" w:rsidRPr="00FE4B02" w:rsidP="00FE4B02">
      <w:pPr>
        <w:pStyle w:val="ListBullet2"/>
      </w:pPr>
      <w:r w:rsidRPr="00FE4B02">
        <w:t>units not already chosen from Group B</w:t>
      </w:r>
    </w:p>
    <w:p w:rsidR="00000000" w:rsidRPr="00FE4B02" w:rsidP="00FE4B02">
      <w:pPr>
        <w:pStyle w:val="ListBullet2"/>
      </w:pPr>
      <w:r w:rsidRPr="00FE4B02">
        <w:t>relevant units available in this Training Package, other endorsed Training Packages and accredited courses, wher</w:t>
      </w:r>
      <w:r w:rsidRPr="00FE4B02">
        <w:t>e those units are aligned to Certificate II and III qualifications.</w:t>
      </w:r>
    </w:p>
    <w:p w:rsidR="00000000" w:rsidRPr="00FE4B02" w:rsidP="00FE4B02">
      <w:pPr>
        <w:pStyle w:val="BodyText"/>
      </w:pPr>
    </w:p>
    <w:p w:rsidR="00000000" w:rsidRPr="00FE4B02" w:rsidP="00FE4B02">
      <w:pPr>
        <w:pStyle w:val="BodyText"/>
      </w:pPr>
      <w:r w:rsidRPr="00FE4B02">
        <w:rPr>
          <w:rStyle w:val="SpecialBold"/>
        </w:rPr>
        <w:t>Specialisation advice</w:t>
      </w:r>
    </w:p>
    <w:p w:rsidR="00000000" w:rsidRPr="00FE4B02" w:rsidP="00FE4B02">
      <w:pPr>
        <w:pStyle w:val="BodyText"/>
      </w:pPr>
      <w:r w:rsidRPr="00FE4B02">
        <w:t>Unit selection for a particular occupational stream must adhere to the packaging rules specified above. Examples of appropriate elective units for particular outcomes are provided below.</w:t>
      </w:r>
    </w:p>
    <w:p w:rsidR="00000000" w:rsidRPr="00FE4B02" w:rsidP="00FE4B02">
      <w:pPr>
        <w:pStyle w:val="BodyText"/>
      </w:pPr>
    </w:p>
    <w:p w:rsidR="00000000" w:rsidRPr="00FE4B02" w:rsidP="00FE4B02">
      <w:pPr>
        <w:pStyle w:val="BodyText"/>
      </w:pPr>
      <w:r w:rsidRPr="00FE4B02">
        <w:t>Note: A specialisation does not alter the title of the qualification</w:t>
      </w:r>
      <w:r w:rsidRPr="00FE4B02">
        <w:t xml:space="preserve"> although RTOs may choose to record the specialist occupational stream. Refer to </w:t>
      </w:r>
      <w:r w:rsidRPr="00FE4B02">
        <w:rPr>
          <w:rStyle w:val="BoldandItalics"/>
        </w:rPr>
        <w:t>Additional qualification advice</w:t>
      </w:r>
      <w:r w:rsidRPr="00FE4B02">
        <w:t>.</w:t>
      </w:r>
    </w:p>
    <w:p w:rsidR="00000000" w:rsidRPr="00FE4B02" w:rsidP="00FE4B02">
      <w:pPr>
        <w:pStyle w:val="BodyText"/>
      </w:pPr>
    </w:p>
    <w:p w:rsidR="00000000" w:rsidRPr="00FE4B02" w:rsidP="00FE4B02">
      <w:pPr>
        <w:pStyle w:val="BodyText"/>
      </w:pPr>
      <w:r w:rsidRPr="00FE4B02">
        <w:rPr>
          <w:rStyle w:val="SpecialBold"/>
        </w:rPr>
        <w:t>Paint preparation</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five (5) units of competency from the Paint/Refinish group.</w:t>
      </w:r>
    </w:p>
    <w:p w:rsidR="00000000" w:rsidRPr="00FE4B02" w:rsidP="00FE4B02">
      <w:pPr>
        <w:pStyle w:val="BodyText"/>
      </w:pPr>
    </w:p>
    <w:p w:rsidR="00000000" w:rsidRPr="00FE4B02" w:rsidP="00FE4B02">
      <w:pPr>
        <w:pStyle w:val="BodyText"/>
      </w:pPr>
      <w:r w:rsidRPr="00FE4B02">
        <w:rPr>
          <w:rStyle w:val="SpecialBold"/>
        </w:rPr>
        <w:t>Pane</w:t>
      </w:r>
      <w:r w:rsidRPr="00FE4B02">
        <w:rPr>
          <w:rStyle w:val="SpecialBold"/>
        </w:rPr>
        <w:t>l preparation</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five (5) units of competency from the Body Repair group.</w:t>
      </w:r>
    </w:p>
    <w:p w:rsidR="00000000" w:rsidRPr="00FE4B02" w:rsidP="00FE4B02">
      <w:pPr>
        <w:pStyle w:val="BodyText"/>
      </w:pPr>
    </w:p>
    <w:p w:rsidR="00000000" w:rsidRPr="00FE4B02" w:rsidP="00FE4B02">
      <w:pPr>
        <w:pStyle w:val="BodyText"/>
      </w:pPr>
      <w:r w:rsidRPr="00FE4B02">
        <w:rPr>
          <w:rStyle w:val="SpecialBold"/>
        </w:rPr>
        <w:t>Vehicle dismantling</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three (3) units of competency from the Vehicle Salvage group</w:t>
      </w:r>
    </w:p>
    <w:p w:rsidR="00000000" w:rsidRPr="00FE4B02" w:rsidP="00FE4B02">
      <w:pPr>
        <w:pStyle w:val="ListBullet"/>
      </w:pPr>
      <w:r w:rsidRPr="00FE4B02">
        <w:t>one (1) unit of competency from the Welding group.</w:t>
      </w:r>
    </w:p>
    <w:p w:rsidR="00000000" w:rsidRPr="00FE4B02" w:rsidP="00FE4B02">
      <w:pPr>
        <w:pStyle w:val="BodyText"/>
      </w:pPr>
    </w:p>
    <w:p w:rsidR="00000000" w:rsidRPr="00FE4B02" w:rsidP="00FE4B02">
      <w:pPr>
        <w:pStyle w:val="BodyText"/>
      </w:pPr>
      <w:r w:rsidRPr="00FE4B02">
        <w:rPr>
          <w:rStyle w:val="SpecialBold"/>
        </w:rPr>
        <w:t>Vehicle glazing</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five (5) units of competency from the Glass/Windscreens/Tinting group</w:t>
      </w:r>
      <w:r w:rsidRPr="00FE4B02">
        <w:t>.</w:t>
      </w:r>
    </w:p>
    <w:p w:rsidR="00000000" w:rsidRPr="00FE4B02" w:rsidP="00FE4B02">
      <w:pPr>
        <w:pStyle w:val="BodyText"/>
      </w:pPr>
    </w:p>
    <w:p w:rsidR="00000000" w:rsidRPr="00FE4B02" w:rsidP="00FE4B02">
      <w:pPr>
        <w:pStyle w:val="BodyText"/>
      </w:pPr>
      <w:r w:rsidRPr="00FE4B02">
        <w:rPr>
          <w:rStyle w:val="SpecialBold"/>
        </w:rPr>
        <w:t>Vehicle presentation</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five (5) units of competency from the Vehicle Presentation group.</w:t>
      </w:r>
    </w:p>
    <w:p w:rsidR="00000000" w:rsidRPr="00FE4B02" w:rsidP="00FE4B02">
      <w:pPr>
        <w:pStyle w:val="BodyText"/>
      </w:pPr>
    </w:p>
    <w:p w:rsidR="00000000" w:rsidRPr="00FE4B02" w:rsidP="00FE4B02">
      <w:pPr>
        <w:pStyle w:val="BodyText"/>
      </w:pPr>
      <w:r w:rsidRPr="00FE4B02">
        <w:rPr>
          <w:rStyle w:val="SpecialBold"/>
        </w:rPr>
        <w:t>Window tinting</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AURV233849A Prepare surfaces and a</w:t>
      </w:r>
      <w:r w:rsidRPr="00FE4B02">
        <w:t>pply window tinting</w:t>
      </w:r>
    </w:p>
    <w:p w:rsidR="00000000" w:rsidRPr="00FE4B02" w:rsidP="00FE4B02">
      <w:pPr>
        <w:pStyle w:val="ListBullet"/>
      </w:pPr>
      <w:r w:rsidRPr="00FE4B02">
        <w:t>one (1) unit of competency from the Glass/Windscreens/Tinting group</w:t>
      </w:r>
    </w:p>
    <w:p w:rsidR="00000000" w:rsidRPr="00FE4B02" w:rsidP="00FE4B02">
      <w:pPr>
        <w:pStyle w:val="ListBullet"/>
      </w:pPr>
      <w:r w:rsidRPr="00FE4B02">
        <w:t>one (1) unit of competency from the Vehicle Presentation group</w:t>
      </w:r>
    </w:p>
    <w:p w:rsidR="00000000" w:rsidRPr="00FE4B02" w:rsidP="00FE4B02">
      <w:pPr>
        <w:pStyle w:val="ListBullet"/>
      </w:pPr>
      <w:r w:rsidRPr="00FE4B02">
        <w:t>one (1) unit of competency from the Trimming group.</w:t>
      </w:r>
    </w:p>
    <w:p w:rsidR="00000000" w:rsidRPr="00FE4B02" w:rsidP="00FE4B02">
      <w:pPr>
        <w:pStyle w:val="BodyText"/>
      </w:pPr>
    </w:p>
    <w:p w:rsidR="00000000" w:rsidRPr="00FE4B02" w:rsidP="00FE4B02">
      <w:pPr>
        <w:pStyle w:val="BodyText"/>
      </w:pPr>
      <w:r w:rsidRPr="00FE4B02">
        <w:rPr>
          <w:rStyle w:val="SpecialBold"/>
        </w:rPr>
        <w:t>Vehicle trimming</w:t>
      </w:r>
    </w:p>
    <w:p w:rsidR="00000000" w:rsidRPr="00FE4B02" w:rsidP="00FE4B02">
      <w:pPr>
        <w:pStyle w:val="BodyText"/>
      </w:pPr>
      <w:r w:rsidRPr="00FE4B02">
        <w:t>The units below are recommended for this specialisation:</w:t>
      </w:r>
    </w:p>
    <w:p w:rsidR="00000000" w:rsidRPr="00FE4B02" w:rsidP="00FE4B02">
      <w:pPr>
        <w:pStyle w:val="ListBullet"/>
      </w:pPr>
      <w:r w:rsidRPr="00FE4B02">
        <w:t>five (5) units of competency from the Trimming group.</w:t>
      </w:r>
    </w:p>
    <w:p w:rsidR="00000000" w:rsidRPr="00FE4B02" w:rsidP="00FE4B02"/>
    <w:sectPr w:rsidSect="00FE4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28B" w:rsidP="00DB4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8B" w:rsidP="00FE4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B428B" w:rsidP="00FE4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B428B" w:rsidP="00FE4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2" w:rsidRPr="00DB428B" w:rsidP="00DB42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8B" w:rsidP="00FE4B02">
    <w:pPr>
      <w:pStyle w:val="Header"/>
      <w:framePr w:wrap="around"/>
    </w:pPr>
    <w:r>
      <w:fldChar w:fldCharType="begin"/>
    </w:r>
    <w:r>
      <w:instrText xml:space="preserve"> TITLE   \* MERGEFORMAT </w:instrText>
    </w:r>
    <w:r>
      <w:fldChar w:fldCharType="separate"/>
    </w:r>
    <w:r>
      <w:t>AUR20905 Certificate II in Automotive Vehicle 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28B" w:rsidP="00FE4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27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6F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CB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B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B02"/>
    <w:pPr>
      <w:spacing w:before="360" w:after="60"/>
      <w:outlineLvl w:val="0"/>
    </w:pPr>
    <w:rPr>
      <w:sz w:val="32"/>
    </w:rPr>
  </w:style>
  <w:style w:type="paragraph" w:styleId="Heading2">
    <w:name w:val="heading 2"/>
    <w:basedOn w:val="HeadingBase"/>
    <w:next w:val="BodyText"/>
    <w:link w:val="Heading2Char"/>
    <w:qFormat/>
    <w:rsid w:val="00FE4B02"/>
    <w:pPr>
      <w:keepLines/>
      <w:spacing w:before="240" w:after="120"/>
      <w:outlineLvl w:val="1"/>
    </w:pPr>
    <w:rPr>
      <w:sz w:val="28"/>
      <w:szCs w:val="40"/>
    </w:rPr>
  </w:style>
  <w:style w:type="paragraph" w:styleId="Heading3">
    <w:name w:val="heading 3"/>
    <w:basedOn w:val="HeadingBase"/>
    <w:next w:val="BodyText"/>
    <w:link w:val="Heading3Char"/>
    <w:qFormat/>
    <w:rsid w:val="00FE4B02"/>
    <w:pPr>
      <w:spacing w:before="180" w:after="120"/>
      <w:outlineLvl w:val="2"/>
    </w:pPr>
    <w:rPr>
      <w:spacing w:val="-10"/>
      <w:kern w:val="32"/>
    </w:rPr>
  </w:style>
  <w:style w:type="paragraph" w:styleId="Heading4">
    <w:name w:val="heading 4"/>
    <w:basedOn w:val="HeadingBase"/>
    <w:next w:val="BodyText"/>
    <w:link w:val="Heading4Char"/>
    <w:qFormat/>
    <w:rsid w:val="00FE4B02"/>
    <w:pPr>
      <w:spacing w:before="160" w:after="120"/>
      <w:outlineLvl w:val="3"/>
    </w:pPr>
    <w:rPr>
      <w:sz w:val="22"/>
    </w:rPr>
  </w:style>
  <w:style w:type="paragraph" w:styleId="Heading5">
    <w:name w:val="heading 5"/>
    <w:basedOn w:val="HeadingBase"/>
    <w:next w:val="Normal"/>
    <w:link w:val="Heading5Char"/>
    <w:qFormat/>
    <w:rsid w:val="00FE4B02"/>
    <w:pPr>
      <w:spacing w:before="80"/>
      <w:outlineLvl w:val="4"/>
    </w:pPr>
    <w:rPr>
      <w:color w:val="918585"/>
      <w:sz w:val="20"/>
    </w:rPr>
  </w:style>
  <w:style w:type="paragraph" w:styleId="Heading6">
    <w:name w:val="heading 6"/>
    <w:basedOn w:val="HeadingBase"/>
    <w:next w:val="Normal"/>
    <w:link w:val="Heading6Char"/>
    <w:qFormat/>
    <w:rsid w:val="00FE4B02"/>
    <w:pPr>
      <w:spacing w:before="60"/>
      <w:outlineLvl w:val="5"/>
    </w:pPr>
    <w:rPr>
      <w:color w:val="918585"/>
      <w:sz w:val="20"/>
    </w:rPr>
  </w:style>
  <w:style w:type="paragraph" w:styleId="Heading7">
    <w:name w:val="heading 7"/>
    <w:basedOn w:val="Normal"/>
    <w:next w:val="Normal"/>
    <w:link w:val="Heading7Char"/>
    <w:qFormat/>
    <w:rsid w:val="00FE4B02"/>
    <w:pPr>
      <w:ind w:left="720"/>
      <w:outlineLvl w:val="6"/>
    </w:pPr>
    <w:rPr>
      <w:i/>
    </w:rPr>
  </w:style>
  <w:style w:type="paragraph" w:styleId="Heading8">
    <w:name w:val="heading 8"/>
    <w:basedOn w:val="Normal"/>
    <w:next w:val="Normal"/>
    <w:link w:val="Heading8Char"/>
    <w:qFormat/>
    <w:rsid w:val="00FE4B02"/>
    <w:pPr>
      <w:ind w:left="720"/>
      <w:outlineLvl w:val="7"/>
    </w:pPr>
    <w:rPr>
      <w:i/>
    </w:rPr>
  </w:style>
  <w:style w:type="paragraph" w:styleId="Heading9">
    <w:name w:val="heading 9"/>
    <w:basedOn w:val="Normal"/>
    <w:next w:val="Normal"/>
    <w:link w:val="Heading9Char"/>
    <w:qFormat/>
    <w:rsid w:val="00FE4B02"/>
    <w:pPr>
      <w:ind w:left="720"/>
      <w:outlineLvl w:val="8"/>
    </w:pPr>
    <w:rPr>
      <w:i/>
    </w:rPr>
  </w:style>
  <w:style w:type="character" w:default="1" w:styleId="DefaultParagraphFont">
    <w:name w:val="Default Paragraph Font"/>
    <w:uiPriority w:val="1"/>
    <w:unhideWhenUsed/>
    <w:rsid w:val="00FE4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B02"/>
  </w:style>
  <w:style w:type="character" w:customStyle="1" w:styleId="Heading1Char">
    <w:name w:val="Heading 1 Char"/>
    <w:link w:val="Heading1"/>
    <w:rsid w:val="00FE4B02"/>
    <w:rPr>
      <w:rFonts w:ascii="Times New Roman" w:eastAsia="Times New Roman" w:hAnsi="Times New Roman" w:cs="Times New Roman"/>
      <w:b/>
      <w:sz w:val="32"/>
      <w:szCs w:val="20"/>
      <w:lang w:eastAsia="en-US"/>
    </w:rPr>
  </w:style>
  <w:style w:type="paragraph" w:styleId="BodyText">
    <w:name w:val="Body Text"/>
    <w:basedOn w:val="Normal"/>
    <w:link w:val="BodyTextChar"/>
    <w:rsid w:val="00FE4B02"/>
    <w:pPr>
      <w:spacing w:before="120" w:after="120"/>
      <w:contextualSpacing/>
    </w:pPr>
    <w:rPr>
      <w:rFonts w:ascii="Times New Roman" w:hAnsi="Times New Roman"/>
      <w:sz w:val="24"/>
      <w:szCs w:val="22"/>
    </w:rPr>
  </w:style>
  <w:style w:type="character" w:customStyle="1" w:styleId="BodyTextChar">
    <w:name w:val="Body Text Char"/>
    <w:link w:val="BodyText"/>
    <w:rsid w:val="00FE4B02"/>
    <w:rPr>
      <w:rFonts w:ascii="Times New Roman" w:eastAsia="Times New Roman" w:hAnsi="Times New Roman" w:cs="Times New Roman"/>
      <w:sz w:val="24"/>
      <w:lang w:val="en-US" w:eastAsia="en-US"/>
    </w:rPr>
  </w:style>
  <w:style w:type="paragraph" w:styleId="Footer">
    <w:name w:val="footer"/>
    <w:basedOn w:val="Normal"/>
    <w:link w:val="FooterChar"/>
    <w:rsid w:val="00FE4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4B02"/>
    <w:rPr>
      <w:rFonts w:ascii="Times New Roman" w:eastAsia="Times New Roman" w:hAnsi="Times New Roman" w:cs="Times New Roman"/>
      <w:sz w:val="16"/>
      <w:lang w:val="en-US" w:eastAsia="en-US"/>
    </w:rPr>
  </w:style>
  <w:style w:type="paragraph" w:styleId="ListBullet">
    <w:name w:val="List Bullet"/>
    <w:basedOn w:val="List"/>
    <w:rsid w:val="00FE4B02"/>
    <w:pPr>
      <w:numPr>
        <w:numId w:val="14"/>
      </w:numPr>
      <w:tabs>
        <w:tab w:val="clear" w:pos="340"/>
      </w:tabs>
      <w:spacing w:before="40" w:after="40"/>
    </w:pPr>
  </w:style>
  <w:style w:type="character" w:customStyle="1" w:styleId="SpecialBold">
    <w:name w:val="Special Bold"/>
    <w:rsid w:val="00FE4B02"/>
    <w:rPr>
      <w:b/>
      <w:spacing w:val="0"/>
    </w:rPr>
  </w:style>
  <w:style w:type="paragraph" w:styleId="ListBullet2">
    <w:name w:val="List Bullet 2"/>
    <w:basedOn w:val="List2"/>
    <w:rsid w:val="00FE4B02"/>
    <w:pPr>
      <w:numPr>
        <w:numId w:val="15"/>
      </w:numPr>
      <w:tabs>
        <w:tab w:val="clear" w:pos="680"/>
      </w:tabs>
    </w:pPr>
  </w:style>
  <w:style w:type="paragraph" w:customStyle="1" w:styleId="SuperHeading">
    <w:name w:val="SuperHeading"/>
    <w:basedOn w:val="Normal"/>
    <w:rsid w:val="00FE4B02"/>
    <w:pPr>
      <w:spacing w:before="240" w:after="120"/>
      <w:outlineLvl w:val="0"/>
    </w:pPr>
    <w:rPr>
      <w:rFonts w:ascii="Times New Roman" w:hAnsi="Times New Roman"/>
      <w:b/>
      <w:sz w:val="28"/>
    </w:rPr>
  </w:style>
  <w:style w:type="paragraph" w:customStyle="1" w:styleId="AllowPageBreak">
    <w:name w:val="AllowPageBreak"/>
    <w:rsid w:val="00FE4B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4B02"/>
    <w:pPr>
      <w:numPr>
        <w:numId w:val="3"/>
      </w:numPr>
      <w:tabs>
        <w:tab w:val="clear" w:pos="1021"/>
      </w:tabs>
      <w:ind w:left="1037" w:hanging="357"/>
    </w:pPr>
  </w:style>
  <w:style w:type="character" w:customStyle="1" w:styleId="BoldandItalics">
    <w:name w:val="Bold and Italics"/>
    <w:qFormat/>
    <w:rsid w:val="00FE4B02"/>
    <w:rPr>
      <w:b/>
      <w:i/>
      <w:u w:val="none"/>
    </w:rPr>
  </w:style>
  <w:style w:type="character" w:customStyle="1" w:styleId="Heading2Char">
    <w:name w:val="Heading 2 Char"/>
    <w:link w:val="Heading2"/>
    <w:rsid w:val="00FE4B02"/>
    <w:rPr>
      <w:rFonts w:ascii="Times New Roman" w:eastAsia="Times New Roman" w:hAnsi="Times New Roman" w:cs="Times New Roman"/>
      <w:b/>
      <w:sz w:val="28"/>
      <w:szCs w:val="40"/>
      <w:lang w:eastAsia="en-US"/>
    </w:rPr>
  </w:style>
  <w:style w:type="character" w:customStyle="1" w:styleId="Heading3Char">
    <w:name w:val="Heading 3 Char"/>
    <w:link w:val="Heading3"/>
    <w:rsid w:val="00FE4B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4B02"/>
    <w:rPr>
      <w:rFonts w:ascii="Times New Roman" w:eastAsia="Times New Roman" w:hAnsi="Times New Roman" w:cs="Times New Roman"/>
      <w:b/>
      <w:szCs w:val="20"/>
      <w:lang w:eastAsia="en-US"/>
    </w:rPr>
  </w:style>
  <w:style w:type="character" w:customStyle="1" w:styleId="Heading5Char">
    <w:name w:val="Heading 5 Char"/>
    <w:link w:val="Heading5"/>
    <w:rsid w:val="00FE4B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4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B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B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B02"/>
    <w:rPr>
      <w:rFonts w:ascii="Courier New" w:eastAsia="Times New Roman" w:hAnsi="Courier New" w:cs="Times New Roman"/>
      <w:i/>
      <w:szCs w:val="20"/>
      <w:lang w:val="en-US" w:eastAsia="en-US"/>
    </w:rPr>
  </w:style>
  <w:style w:type="paragraph" w:customStyle="1" w:styleId="HeadingBase">
    <w:name w:val="Heading Base"/>
    <w:rsid w:val="00FE4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B02"/>
    <w:pPr>
      <w:tabs>
        <w:tab w:val="right" w:leader="dot" w:pos="9072"/>
      </w:tabs>
      <w:ind w:left="567"/>
    </w:pPr>
    <w:rPr>
      <w:szCs w:val="22"/>
    </w:rPr>
  </w:style>
  <w:style w:type="paragraph" w:customStyle="1" w:styleId="TOCBase">
    <w:name w:val="TOC Base"/>
    <w:rsid w:val="00FE4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B02"/>
    <w:pPr>
      <w:tabs>
        <w:tab w:val="right" w:leader="dot" w:pos="9072"/>
      </w:tabs>
      <w:spacing w:before="40" w:after="40"/>
      <w:ind w:left="284"/>
    </w:pPr>
    <w:rPr>
      <w:rFonts w:ascii="Times New Roman" w:hAnsi="Times New Roman"/>
    </w:rPr>
  </w:style>
  <w:style w:type="paragraph" w:styleId="TOC1">
    <w:name w:val="toc 1"/>
    <w:basedOn w:val="TOCBase"/>
    <w:next w:val="Normal"/>
    <w:rsid w:val="00FE4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B02"/>
    <w:pPr>
      <w:spacing w:before="5040"/>
      <w:jc w:val="center"/>
    </w:pPr>
    <w:rPr>
      <w:sz w:val="48"/>
      <w:szCs w:val="72"/>
      <w:lang w:val="en-US"/>
    </w:rPr>
  </w:style>
  <w:style w:type="character" w:customStyle="1" w:styleId="TitleChar">
    <w:name w:val="Title Char"/>
    <w:link w:val="Title"/>
    <w:rsid w:val="00FE4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B02"/>
    <w:pPr>
      <w:tabs>
        <w:tab w:val="left" w:pos="3600"/>
        <w:tab w:val="left" w:pos="3958"/>
      </w:tabs>
    </w:pPr>
  </w:style>
  <w:style w:type="paragraph" w:styleId="List">
    <w:name w:val="List"/>
    <w:basedOn w:val="BodyText"/>
    <w:next w:val="BodyText"/>
    <w:rsid w:val="00FE4B02"/>
    <w:pPr>
      <w:tabs>
        <w:tab w:val="left" w:pos="340"/>
      </w:tabs>
      <w:spacing w:before="60" w:after="60"/>
      <w:ind w:left="340" w:hanging="340"/>
    </w:pPr>
  </w:style>
  <w:style w:type="paragraph" w:customStyle="1" w:styleId="Note">
    <w:name w:val="Note"/>
    <w:basedOn w:val="BodyText"/>
    <w:rsid w:val="00FE4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B02"/>
    <w:pPr>
      <w:framePr w:wrap="auto" w:hAnchor="text" w:y="6049"/>
    </w:pPr>
    <w:rPr>
      <w:color w:val="000000"/>
      <w:sz w:val="40"/>
    </w:rPr>
  </w:style>
  <w:style w:type="paragraph" w:customStyle="1" w:styleId="TOCTitle">
    <w:name w:val="TOCTitle"/>
    <w:basedOn w:val="Heading1"/>
    <w:rsid w:val="00FE4B02"/>
    <w:pPr>
      <w:spacing w:after="240"/>
      <w:jc w:val="center"/>
      <w:outlineLvl w:val="9"/>
    </w:pPr>
    <w:rPr>
      <w:caps/>
    </w:rPr>
  </w:style>
  <w:style w:type="paragraph" w:customStyle="1" w:styleId="Version">
    <w:name w:val="Version"/>
    <w:rsid w:val="00FE4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B02"/>
    <w:pPr>
      <w:keepNext w:val="0"/>
      <w:tabs>
        <w:tab w:val="right" w:pos="4176"/>
      </w:tabs>
      <w:ind w:left="198" w:hanging="198"/>
    </w:pPr>
    <w:rPr>
      <w:rFonts w:ascii="Garamond" w:hAnsi="Garamond"/>
    </w:rPr>
  </w:style>
  <w:style w:type="paragraph" w:styleId="IndexHeading">
    <w:name w:val="index heading"/>
    <w:basedOn w:val="Normal"/>
    <w:next w:val="Index1"/>
    <w:semiHidden/>
    <w:rsid w:val="00FE4B02"/>
    <w:pPr>
      <w:spacing w:before="120" w:after="120"/>
    </w:pPr>
    <w:rPr>
      <w:rFonts w:ascii="Arial" w:hAnsi="Arial"/>
      <w:b/>
      <w:color w:val="918585"/>
      <w:sz w:val="24"/>
    </w:rPr>
  </w:style>
  <w:style w:type="paragraph" w:styleId="Header">
    <w:name w:val="header"/>
    <w:basedOn w:val="Normal"/>
    <w:link w:val="HeaderChar"/>
    <w:rsid w:val="00FE4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4B02"/>
    <w:rPr>
      <w:rFonts w:ascii="Times New Roman" w:eastAsia="Times New Roman" w:hAnsi="Times New Roman" w:cs="Times New Roman"/>
      <w:sz w:val="16"/>
      <w:szCs w:val="20"/>
      <w:lang w:val="en-GB" w:eastAsia="en-US"/>
    </w:rPr>
  </w:style>
  <w:style w:type="paragraph" w:customStyle="1" w:styleId="Chapter">
    <w:name w:val="Chapter"/>
    <w:basedOn w:val="Normal"/>
    <w:rsid w:val="00FE4B02"/>
    <w:pPr>
      <w:spacing w:before="240"/>
    </w:pPr>
    <w:rPr>
      <w:rFonts w:ascii="Times New Roman" w:hAnsi="Times New Roman"/>
      <w:smallCaps/>
      <w:spacing w:val="80"/>
      <w:sz w:val="28"/>
    </w:rPr>
  </w:style>
  <w:style w:type="paragraph" w:customStyle="1" w:styleId="InChapter">
    <w:name w:val="InChapter"/>
    <w:basedOn w:val="Heading3"/>
    <w:rsid w:val="00FE4B02"/>
    <w:pPr>
      <w:spacing w:after="240"/>
      <w:outlineLvl w:val="9"/>
    </w:pPr>
    <w:rPr>
      <w:noProof/>
    </w:rPr>
  </w:style>
  <w:style w:type="paragraph" w:styleId="Index2">
    <w:name w:val="index 2"/>
    <w:basedOn w:val="Normal"/>
    <w:next w:val="Normal"/>
    <w:semiHidden/>
    <w:rsid w:val="00FE4B02"/>
    <w:pPr>
      <w:tabs>
        <w:tab w:val="right" w:pos="4176"/>
      </w:tabs>
      <w:ind w:left="568" w:hanging="284"/>
    </w:pPr>
    <w:rPr>
      <w:rFonts w:ascii="Garamond" w:hAnsi="Garamond"/>
    </w:rPr>
  </w:style>
  <w:style w:type="paragraph" w:customStyle="1" w:styleId="Byline">
    <w:name w:val="Byline"/>
    <w:rsid w:val="00FE4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B02"/>
    <w:pPr>
      <w:tabs>
        <w:tab w:val="clear" w:pos="3600"/>
        <w:tab w:val="clear" w:pos="3958"/>
      </w:tabs>
      <w:jc w:val="right"/>
    </w:pPr>
  </w:style>
  <w:style w:type="character" w:styleId="Emphasis">
    <w:name w:val="Emphasis"/>
    <w:qFormat/>
    <w:rsid w:val="00FE4B02"/>
    <w:rPr>
      <w:i/>
    </w:rPr>
  </w:style>
  <w:style w:type="paragraph" w:styleId="Caption">
    <w:name w:val="caption"/>
    <w:basedOn w:val="BodyText"/>
    <w:next w:val="Normal"/>
    <w:qFormat/>
    <w:rsid w:val="00FE4B02"/>
    <w:pPr>
      <w:framePr w:w="2268" w:hSpace="181" w:vSpace="181" w:wrap="around" w:vAnchor="text" w:hAnchor="page" w:x="1135" w:y="285" w:anchorLock="1"/>
    </w:pPr>
    <w:rPr>
      <w:i/>
    </w:rPr>
  </w:style>
  <w:style w:type="paragraph" w:customStyle="1" w:styleId="MiniTOCTitle">
    <w:name w:val="MiniTOCTitle"/>
    <w:basedOn w:val="Heading4"/>
    <w:rsid w:val="00FE4B02"/>
    <w:pPr>
      <w:spacing w:before="240"/>
      <w:outlineLvl w:val="9"/>
    </w:pPr>
    <w:rPr>
      <w:noProof/>
      <w:sz w:val="24"/>
    </w:rPr>
  </w:style>
  <w:style w:type="paragraph" w:customStyle="1" w:styleId="MiniTOCItem">
    <w:name w:val="MiniTOCItem"/>
    <w:basedOn w:val="ListBullet"/>
    <w:rsid w:val="00FE4B02"/>
    <w:pPr>
      <w:numPr>
        <w:numId w:val="0"/>
      </w:numPr>
      <w:tabs>
        <w:tab w:val="right" w:leader="dot" w:pos="6521"/>
      </w:tabs>
      <w:spacing w:before="0" w:after="0"/>
    </w:pPr>
  </w:style>
  <w:style w:type="paragraph" w:customStyle="1" w:styleId="TOFTitle">
    <w:name w:val="TOFTitle"/>
    <w:basedOn w:val="TOCTitle"/>
    <w:rsid w:val="00FE4B02"/>
  </w:style>
  <w:style w:type="paragraph" w:styleId="TableofFigures">
    <w:name w:val="table of figures"/>
    <w:basedOn w:val="Normal"/>
    <w:next w:val="Normal"/>
    <w:semiHidden/>
    <w:rsid w:val="00FE4B02"/>
    <w:pPr>
      <w:tabs>
        <w:tab w:val="right" w:leader="dot" w:pos="9072"/>
      </w:tabs>
      <w:ind w:left="970" w:hanging="403"/>
    </w:pPr>
    <w:rPr>
      <w:rFonts w:ascii="Times New Roman" w:hAnsi="Times New Roman"/>
      <w:b/>
    </w:rPr>
  </w:style>
  <w:style w:type="paragraph" w:styleId="ListNumber">
    <w:name w:val="List Number"/>
    <w:basedOn w:val="List"/>
    <w:rsid w:val="00FE4B02"/>
    <w:pPr>
      <w:numPr>
        <w:numId w:val="12"/>
      </w:numPr>
    </w:pPr>
  </w:style>
  <w:style w:type="character" w:customStyle="1" w:styleId="WingdingSymbols">
    <w:name w:val="Wingding Symbols"/>
    <w:rsid w:val="00FE4B02"/>
    <w:rPr>
      <w:rFonts w:ascii="Wingdings" w:hAnsi="Wingdings"/>
    </w:rPr>
  </w:style>
  <w:style w:type="paragraph" w:customStyle="1" w:styleId="TableHeading">
    <w:name w:val="Table Heading"/>
    <w:basedOn w:val="HeadingBase"/>
    <w:rsid w:val="00FE4B02"/>
    <w:pPr>
      <w:keepLines/>
      <w:pBdr>
        <w:bottom w:val="single" w:sz="6" w:space="1" w:color="918585"/>
      </w:pBdr>
      <w:spacing w:before="240"/>
    </w:pPr>
  </w:style>
  <w:style w:type="character" w:customStyle="1" w:styleId="HotSpot">
    <w:name w:val="HotSpot"/>
    <w:rsid w:val="00FE4B02"/>
    <w:rPr>
      <w:color w:val="0033CC"/>
      <w:u w:val="none"/>
    </w:rPr>
  </w:style>
  <w:style w:type="paragraph" w:customStyle="1" w:styleId="BodyTextRight">
    <w:name w:val="Body Text Right"/>
    <w:basedOn w:val="BodyText"/>
    <w:rsid w:val="00FE4B02"/>
    <w:pPr>
      <w:spacing w:before="0" w:after="0"/>
      <w:jc w:val="right"/>
    </w:pPr>
  </w:style>
  <w:style w:type="paragraph" w:styleId="Index3">
    <w:name w:val="index 3"/>
    <w:basedOn w:val="ListNumber2"/>
    <w:next w:val="Normal"/>
    <w:semiHidden/>
    <w:rsid w:val="00FE4B02"/>
    <w:pPr>
      <w:numPr>
        <w:numId w:val="0"/>
      </w:numPr>
      <w:tabs>
        <w:tab w:val="right" w:leader="dot" w:pos="4176"/>
      </w:tabs>
    </w:pPr>
  </w:style>
  <w:style w:type="paragraph" w:styleId="ListNumber2">
    <w:name w:val="List Number 2"/>
    <w:basedOn w:val="List2"/>
    <w:rsid w:val="00FE4B02"/>
    <w:pPr>
      <w:numPr>
        <w:numId w:val="11"/>
      </w:numPr>
      <w:tabs>
        <w:tab w:val="clear" w:pos="1060"/>
      </w:tabs>
    </w:pPr>
  </w:style>
  <w:style w:type="paragraph" w:customStyle="1" w:styleId="MarginNote">
    <w:name w:val="Margin Note"/>
    <w:basedOn w:val="BodyText"/>
    <w:rsid w:val="00FE4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4B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B02"/>
    <w:rPr>
      <w:sz w:val="32"/>
    </w:rPr>
  </w:style>
  <w:style w:type="paragraph" w:customStyle="1" w:styleId="HeadingProcedure">
    <w:name w:val="Heading Procedure"/>
    <w:basedOn w:val="HeadingBase"/>
    <w:next w:val="Normal"/>
    <w:rsid w:val="00FE4B02"/>
    <w:pPr>
      <w:tabs>
        <w:tab w:val="left" w:pos="0"/>
      </w:tabs>
      <w:spacing w:before="120" w:after="60"/>
    </w:pPr>
    <w:rPr>
      <w:i/>
      <w:color w:val="918585"/>
      <w:sz w:val="22"/>
    </w:rPr>
  </w:style>
  <w:style w:type="paragraph" w:customStyle="1" w:styleId="TableBodyText">
    <w:name w:val="Table Body Text"/>
    <w:basedOn w:val="BodyText"/>
    <w:rsid w:val="00FE4B02"/>
    <w:pPr>
      <w:spacing w:before="60" w:after="60"/>
    </w:pPr>
  </w:style>
  <w:style w:type="paragraph" w:styleId="ListContinue">
    <w:name w:val="List Continue"/>
    <w:basedOn w:val="List"/>
    <w:rsid w:val="00FE4B02"/>
    <w:pPr>
      <w:ind w:firstLine="0"/>
    </w:pPr>
  </w:style>
  <w:style w:type="paragraph" w:customStyle="1" w:styleId="ListNote">
    <w:name w:val="List Note"/>
    <w:basedOn w:val="List"/>
    <w:rsid w:val="00FE4B02"/>
    <w:pPr>
      <w:pBdr>
        <w:top w:val="single" w:sz="6" w:space="2" w:color="918585"/>
        <w:bottom w:val="single" w:sz="6" w:space="2" w:color="918585"/>
      </w:pBdr>
      <w:tabs>
        <w:tab w:val="left" w:pos="1021"/>
      </w:tabs>
      <w:ind w:firstLine="0"/>
    </w:pPr>
  </w:style>
  <w:style w:type="paragraph" w:customStyle="1" w:styleId="Warning">
    <w:name w:val="Warning"/>
    <w:basedOn w:val="BodyText"/>
    <w:rsid w:val="00FE4B02"/>
    <w:pPr>
      <w:shd w:val="clear" w:color="auto" w:fill="D9D9D9"/>
      <w:tabs>
        <w:tab w:val="left" w:pos="992"/>
      </w:tabs>
      <w:ind w:left="119" w:right="119"/>
    </w:pPr>
    <w:rPr>
      <w:sz w:val="20"/>
    </w:rPr>
  </w:style>
  <w:style w:type="paragraph" w:customStyle="1" w:styleId="MarginIcons">
    <w:name w:val="Margin Icons"/>
    <w:basedOn w:val="BodyText"/>
    <w:rsid w:val="00FE4B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4B02"/>
    <w:rPr>
      <w:rFonts w:ascii="Courier New" w:hAnsi="Courier New"/>
    </w:rPr>
  </w:style>
  <w:style w:type="paragraph" w:customStyle="1" w:styleId="NoteBullet">
    <w:name w:val="Note Bullet"/>
    <w:basedOn w:val="Note"/>
    <w:rsid w:val="00FE4B02"/>
    <w:pPr>
      <w:tabs>
        <w:tab w:val="clear" w:pos="680"/>
      </w:tabs>
      <w:spacing w:before="60" w:after="60"/>
    </w:pPr>
  </w:style>
  <w:style w:type="paragraph" w:customStyle="1" w:styleId="SubHeading2">
    <w:name w:val="SubHeading2"/>
    <w:basedOn w:val="HeadingBase"/>
    <w:rsid w:val="00FE4B02"/>
    <w:pPr>
      <w:spacing w:before="240" w:after="60"/>
    </w:pPr>
    <w:rPr>
      <w:sz w:val="20"/>
    </w:rPr>
  </w:style>
  <w:style w:type="paragraph" w:customStyle="1" w:styleId="SubHeading1">
    <w:name w:val="SubHeading1"/>
    <w:basedOn w:val="HeadingBase"/>
    <w:rsid w:val="00FE4B02"/>
    <w:pPr>
      <w:spacing w:before="240" w:after="60"/>
    </w:pPr>
    <w:rPr>
      <w:color w:val="918585"/>
      <w:sz w:val="22"/>
    </w:rPr>
  </w:style>
  <w:style w:type="paragraph" w:customStyle="1" w:styleId="SideHeading">
    <w:name w:val="Side Heading"/>
    <w:basedOn w:val="HeadingBase"/>
    <w:rsid w:val="00FE4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B02"/>
    <w:pPr>
      <w:numPr>
        <w:numId w:val="13"/>
      </w:numPr>
    </w:pPr>
  </w:style>
  <w:style w:type="paragraph" w:styleId="PlainText">
    <w:name w:val="Plain Text"/>
    <w:basedOn w:val="Normal"/>
    <w:link w:val="PlainTextChar"/>
    <w:rsid w:val="00FE4B02"/>
    <w:rPr>
      <w:sz w:val="20"/>
    </w:rPr>
  </w:style>
  <w:style w:type="character" w:customStyle="1" w:styleId="PlainTextChar">
    <w:name w:val="Plain Text Char"/>
    <w:basedOn w:val="DefaultParagraphFont"/>
    <w:link w:val="PlainText"/>
    <w:rsid w:val="00FE4B02"/>
    <w:rPr>
      <w:rFonts w:ascii="Courier New" w:eastAsia="Times New Roman" w:hAnsi="Courier New" w:cs="Times New Roman"/>
      <w:sz w:val="20"/>
      <w:szCs w:val="20"/>
      <w:lang w:val="en-US" w:eastAsia="en-US"/>
    </w:rPr>
  </w:style>
  <w:style w:type="character" w:customStyle="1" w:styleId="MenuOption">
    <w:name w:val="Menu Option"/>
    <w:rsid w:val="00FE4B02"/>
    <w:rPr>
      <w:b/>
      <w:smallCaps/>
    </w:rPr>
  </w:style>
  <w:style w:type="paragraph" w:customStyle="1" w:styleId="TableListNumber">
    <w:name w:val="Table List Number"/>
    <w:basedOn w:val="ListNumber"/>
    <w:rsid w:val="00FE4B02"/>
    <w:pPr>
      <w:numPr>
        <w:numId w:val="0"/>
      </w:numPr>
    </w:pPr>
  </w:style>
  <w:style w:type="paragraph" w:styleId="TOC4">
    <w:name w:val="toc 4"/>
    <w:basedOn w:val="TOCBase"/>
    <w:next w:val="Normal"/>
    <w:semiHidden/>
    <w:rsid w:val="00FE4B02"/>
    <w:pPr>
      <w:tabs>
        <w:tab w:val="right" w:leader="dot" w:pos="9071"/>
      </w:tabs>
      <w:ind w:left="1701"/>
    </w:pPr>
  </w:style>
  <w:style w:type="paragraph" w:customStyle="1" w:styleId="ListAlpha">
    <w:name w:val="List Alpha"/>
    <w:basedOn w:val="List"/>
    <w:rsid w:val="00FE4B02"/>
    <w:pPr>
      <w:numPr>
        <w:numId w:val="10"/>
      </w:numPr>
    </w:pPr>
  </w:style>
  <w:style w:type="paragraph" w:customStyle="1" w:styleId="ListAlpha2">
    <w:name w:val="List Alpha 2"/>
    <w:basedOn w:val="List2"/>
    <w:rsid w:val="00FE4B02"/>
    <w:pPr>
      <w:numPr>
        <w:numId w:val="9"/>
      </w:numPr>
    </w:pPr>
  </w:style>
  <w:style w:type="paragraph" w:styleId="List2">
    <w:name w:val="List 2"/>
    <w:basedOn w:val="BodyText"/>
    <w:rsid w:val="00FE4B02"/>
    <w:pPr>
      <w:tabs>
        <w:tab w:val="left" w:pos="680"/>
      </w:tabs>
      <w:spacing w:before="60" w:after="60"/>
      <w:ind w:left="680" w:hanging="340"/>
    </w:pPr>
  </w:style>
  <w:style w:type="paragraph" w:styleId="List3">
    <w:name w:val="List 3"/>
    <w:basedOn w:val="BodyText"/>
    <w:rsid w:val="00FE4B02"/>
    <w:pPr>
      <w:tabs>
        <w:tab w:val="left" w:pos="1021"/>
      </w:tabs>
      <w:spacing w:before="60" w:after="60"/>
      <w:ind w:left="1020" w:hanging="340"/>
    </w:pPr>
  </w:style>
  <w:style w:type="paragraph" w:styleId="List4">
    <w:name w:val="List 4"/>
    <w:basedOn w:val="BodyText"/>
    <w:rsid w:val="00FE4B02"/>
    <w:pPr>
      <w:tabs>
        <w:tab w:val="left" w:pos="1361"/>
      </w:tabs>
      <w:spacing w:before="60" w:after="60"/>
      <w:ind w:left="1361" w:hanging="340"/>
    </w:pPr>
  </w:style>
  <w:style w:type="paragraph" w:styleId="List5">
    <w:name w:val="List 5"/>
    <w:basedOn w:val="BodyText"/>
    <w:rsid w:val="00FE4B02"/>
    <w:pPr>
      <w:tabs>
        <w:tab w:val="left" w:pos="1701"/>
      </w:tabs>
      <w:spacing w:before="60" w:after="60"/>
      <w:ind w:left="1701" w:hanging="340"/>
    </w:pPr>
  </w:style>
  <w:style w:type="paragraph" w:styleId="ListBullet4">
    <w:name w:val="List Bullet 4"/>
    <w:basedOn w:val="List4"/>
    <w:rsid w:val="00FE4B02"/>
    <w:pPr>
      <w:numPr>
        <w:numId w:val="4"/>
      </w:numPr>
    </w:pPr>
  </w:style>
  <w:style w:type="paragraph" w:styleId="ListBullet5">
    <w:name w:val="List Bullet 5"/>
    <w:basedOn w:val="List5"/>
    <w:rsid w:val="00FE4B02"/>
    <w:pPr>
      <w:numPr>
        <w:numId w:val="5"/>
      </w:numPr>
    </w:pPr>
  </w:style>
  <w:style w:type="paragraph" w:styleId="ListContinue2">
    <w:name w:val="List Continue 2"/>
    <w:basedOn w:val="List2"/>
    <w:rsid w:val="00FE4B02"/>
    <w:pPr>
      <w:ind w:firstLine="0"/>
    </w:pPr>
  </w:style>
  <w:style w:type="paragraph" w:styleId="ListContinue3">
    <w:name w:val="List Continue 3"/>
    <w:basedOn w:val="List3"/>
    <w:rsid w:val="00FE4B02"/>
    <w:pPr>
      <w:ind w:left="1021" w:firstLine="0"/>
    </w:pPr>
  </w:style>
  <w:style w:type="paragraph" w:styleId="ListContinue4">
    <w:name w:val="List Continue 4"/>
    <w:basedOn w:val="List4"/>
    <w:rsid w:val="00FE4B02"/>
    <w:pPr>
      <w:ind w:firstLine="0"/>
    </w:pPr>
  </w:style>
  <w:style w:type="paragraph" w:styleId="ListContinue5">
    <w:name w:val="List Continue 5"/>
    <w:basedOn w:val="List5"/>
    <w:rsid w:val="00FE4B02"/>
    <w:pPr>
      <w:ind w:firstLine="0"/>
    </w:pPr>
  </w:style>
  <w:style w:type="paragraph" w:styleId="ListNumber3">
    <w:name w:val="List Number 3"/>
    <w:basedOn w:val="List3"/>
    <w:rsid w:val="00FE4B02"/>
    <w:pPr>
      <w:numPr>
        <w:numId w:val="6"/>
      </w:numPr>
    </w:pPr>
  </w:style>
  <w:style w:type="paragraph" w:styleId="ListNumber4">
    <w:name w:val="List Number 4"/>
    <w:basedOn w:val="List4"/>
    <w:rsid w:val="00FE4B02"/>
    <w:pPr>
      <w:numPr>
        <w:numId w:val="7"/>
      </w:numPr>
    </w:pPr>
  </w:style>
  <w:style w:type="paragraph" w:styleId="ListNumber5">
    <w:name w:val="List Number 5"/>
    <w:basedOn w:val="List5"/>
    <w:rsid w:val="00FE4B02"/>
    <w:pPr>
      <w:numPr>
        <w:numId w:val="8"/>
      </w:numPr>
    </w:pPr>
  </w:style>
  <w:style w:type="paragraph" w:styleId="BlockText">
    <w:name w:val="Block Text"/>
    <w:basedOn w:val="Normal"/>
    <w:rsid w:val="00FE4B02"/>
    <w:pPr>
      <w:spacing w:after="120"/>
      <w:ind w:left="1440" w:right="1440"/>
    </w:pPr>
  </w:style>
  <w:style w:type="character" w:customStyle="1" w:styleId="Subscript">
    <w:name w:val="Subscript"/>
    <w:rsid w:val="00FE4B02"/>
    <w:rPr>
      <w:sz w:val="16"/>
      <w:vertAlign w:val="subscript"/>
    </w:rPr>
  </w:style>
  <w:style w:type="character" w:customStyle="1" w:styleId="Superscript">
    <w:name w:val="Superscript"/>
    <w:rsid w:val="00FE4B02"/>
    <w:rPr>
      <w:sz w:val="16"/>
      <w:vertAlign w:val="superscript"/>
    </w:rPr>
  </w:style>
  <w:style w:type="character" w:customStyle="1" w:styleId="Symbols">
    <w:name w:val="Symbols"/>
    <w:rsid w:val="00FE4B02"/>
    <w:rPr>
      <w:rFonts w:ascii="Symbol" w:hAnsi="Symbol"/>
    </w:rPr>
  </w:style>
  <w:style w:type="character" w:customStyle="1" w:styleId="MenuOptions">
    <w:name w:val="Menu Options"/>
    <w:rsid w:val="00FE4B02"/>
    <w:rPr>
      <w:rFonts w:ascii="Arial Narrow" w:hAnsi="Arial Narrow"/>
      <w:smallCaps/>
    </w:rPr>
  </w:style>
  <w:style w:type="character" w:customStyle="1" w:styleId="Buttons">
    <w:name w:val="Buttons"/>
    <w:rsid w:val="00FE4B02"/>
    <w:rPr>
      <w:b/>
    </w:rPr>
  </w:style>
  <w:style w:type="character" w:customStyle="1" w:styleId="Underlined">
    <w:name w:val="Underlined"/>
    <w:rsid w:val="00FE4B02"/>
    <w:rPr>
      <w:u w:val="single"/>
    </w:rPr>
  </w:style>
  <w:style w:type="paragraph" w:customStyle="1" w:styleId="TableBodyTextRight">
    <w:name w:val="Table Body Text Right"/>
    <w:basedOn w:val="TableBodyText"/>
    <w:rsid w:val="00FE4B02"/>
    <w:pPr>
      <w:widowControl w:val="0"/>
      <w:autoSpaceDE w:val="0"/>
      <w:autoSpaceDN w:val="0"/>
      <w:adjustRightInd w:val="0"/>
      <w:jc w:val="right"/>
    </w:pPr>
    <w:rPr>
      <w:rFonts w:cs="Arial"/>
      <w:szCs w:val="18"/>
    </w:rPr>
  </w:style>
  <w:style w:type="paragraph" w:customStyle="1" w:styleId="CopyrightText">
    <w:name w:val="Copyright Text"/>
    <w:basedOn w:val="BodyText"/>
    <w:rsid w:val="00FE4B02"/>
    <w:rPr>
      <w:sz w:val="18"/>
    </w:rPr>
  </w:style>
  <w:style w:type="paragraph" w:customStyle="1" w:styleId="BodySmallRight">
    <w:name w:val="Body Small Right"/>
    <w:basedOn w:val="BodyTextRight"/>
    <w:rsid w:val="00FE4B02"/>
    <w:rPr>
      <w:sz w:val="18"/>
      <w:szCs w:val="18"/>
    </w:rPr>
  </w:style>
  <w:style w:type="paragraph" w:customStyle="1" w:styleId="MarginEdition">
    <w:name w:val="Margin Edition"/>
    <w:basedOn w:val="MarginNote"/>
    <w:rsid w:val="00FE4B02"/>
    <w:pPr>
      <w:spacing w:before="0" w:after="0"/>
    </w:pPr>
    <w:rPr>
      <w:rFonts w:ascii="Times New Roman" w:hAnsi="Times New Roman"/>
      <w:color w:val="999999"/>
    </w:rPr>
  </w:style>
  <w:style w:type="paragraph" w:customStyle="1" w:styleId="Spacer">
    <w:name w:val="Spacer"/>
    <w:basedOn w:val="Normal"/>
    <w:rsid w:val="00FE4B02"/>
    <w:rPr>
      <w:sz w:val="2"/>
      <w:szCs w:val="2"/>
    </w:rPr>
  </w:style>
  <w:style w:type="character" w:customStyle="1" w:styleId="Small">
    <w:name w:val="Small"/>
    <w:rsid w:val="00FE4B02"/>
    <w:rPr>
      <w:sz w:val="16"/>
    </w:rPr>
  </w:style>
  <w:style w:type="paragraph" w:customStyle="1" w:styleId="WideTable">
    <w:name w:val="Wide Table"/>
    <w:basedOn w:val="Normal"/>
    <w:rsid w:val="00FE4B02"/>
    <w:pPr>
      <w:ind w:left="-1418"/>
    </w:pPr>
    <w:rPr>
      <w:sz w:val="2"/>
      <w:szCs w:val="2"/>
    </w:rPr>
  </w:style>
  <w:style w:type="character" w:styleId="PageNumber">
    <w:name w:val="page number"/>
    <w:rsid w:val="00FE4B02"/>
  </w:style>
  <w:style w:type="paragraph" w:styleId="Quote">
    <w:name w:val="Quote"/>
    <w:basedOn w:val="Heading1"/>
    <w:link w:val="QuoteChar"/>
    <w:qFormat/>
    <w:rsid w:val="00FE4B02"/>
    <w:rPr>
      <w:b w:val="0"/>
      <w:sz w:val="72"/>
      <w:szCs w:val="72"/>
      <w:lang w:val="en-NZ"/>
    </w:rPr>
  </w:style>
  <w:style w:type="character" w:customStyle="1" w:styleId="QuoteChar">
    <w:name w:val="Quote Char"/>
    <w:link w:val="Quote"/>
    <w:rsid w:val="00FE4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B02"/>
    <w:pPr>
      <w:pageBreakBefore/>
    </w:pPr>
  </w:style>
  <w:style w:type="paragraph" w:customStyle="1" w:styleId="Border">
    <w:name w:val="Border"/>
    <w:basedOn w:val="Normal"/>
    <w:qFormat/>
    <w:rsid w:val="00FE4B02"/>
    <w:pPr>
      <w:pBdr>
        <w:top w:val="single" w:sz="18" w:space="1" w:color="auto"/>
      </w:pBdr>
    </w:pPr>
    <w:rPr>
      <w:rFonts w:ascii="Times New Roman" w:hAnsi="Times New Roman"/>
      <w:color w:val="FFFFFF"/>
      <w:sz w:val="2"/>
    </w:rPr>
  </w:style>
  <w:style w:type="character" w:styleId="IntenseEmphasis">
    <w:name w:val="Intense Emphasis"/>
    <w:uiPriority w:val="21"/>
    <w:qFormat/>
    <w:rsid w:val="00FE4B02"/>
    <w:rPr>
      <w:b/>
      <w:bCs/>
      <w:i/>
      <w:iCs/>
      <w:color w:val="auto"/>
    </w:rPr>
  </w:style>
  <w:style w:type="paragraph" w:styleId="IntenseQuote">
    <w:name w:val="Intense Quote"/>
    <w:basedOn w:val="Normal"/>
    <w:next w:val="Normal"/>
    <w:link w:val="IntenseQuoteChar"/>
    <w:uiPriority w:val="30"/>
    <w:qFormat/>
    <w:rsid w:val="00FE4B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4B02"/>
    <w:rPr>
      <w:rFonts w:ascii="Courier New" w:eastAsia="Times New Roman" w:hAnsi="Courier New" w:cs="Times New Roman"/>
      <w:b/>
      <w:bCs/>
      <w:i/>
      <w:iCs/>
      <w:szCs w:val="20"/>
      <w:lang w:val="en-US" w:eastAsia="en-US"/>
    </w:rPr>
  </w:style>
  <w:style w:type="character" w:styleId="SubtleReference">
    <w:name w:val="Subtle Reference"/>
    <w:uiPriority w:val="31"/>
    <w:qFormat/>
    <w:rsid w:val="00FE4B02"/>
    <w:rPr>
      <w:smallCaps/>
      <w:color w:val="auto"/>
      <w:u w:val="single"/>
    </w:rPr>
  </w:style>
  <w:style w:type="character" w:styleId="IntenseReference">
    <w:name w:val="Intense Reference"/>
    <w:uiPriority w:val="32"/>
    <w:qFormat/>
    <w:rsid w:val="00FE4B02"/>
    <w:rPr>
      <w:b/>
      <w:bCs/>
      <w:smallCaps/>
      <w:color w:val="auto"/>
      <w:spacing w:val="5"/>
      <w:u w:val="single"/>
    </w:rPr>
  </w:style>
  <w:style w:type="paragraph" w:customStyle="1" w:styleId="2ColumnHeading">
    <w:name w:val="2Column Heading"/>
    <w:basedOn w:val="BodyText"/>
    <w:qFormat/>
    <w:rsid w:val="00FE4B02"/>
    <w:pPr>
      <w:spacing w:after="60"/>
      <w:ind w:left="-2268"/>
    </w:pPr>
    <w:rPr>
      <w:b/>
    </w:rPr>
  </w:style>
  <w:style w:type="paragraph" w:customStyle="1" w:styleId="Heading1TOC">
    <w:name w:val="Heading1 TOC"/>
    <w:basedOn w:val="Normal"/>
    <w:qFormat/>
    <w:rsid w:val="00FE4B02"/>
    <w:pPr>
      <w:spacing w:before="240" w:after="120"/>
    </w:pPr>
    <w:rPr>
      <w:rFonts w:ascii="Times New Roman" w:hAnsi="Times New Roman"/>
      <w:b/>
      <w:sz w:val="32"/>
    </w:rPr>
  </w:style>
  <w:style w:type="paragraph" w:customStyle="1" w:styleId="Heading2TOC">
    <w:name w:val="Heading2 TOC"/>
    <w:basedOn w:val="Normal"/>
    <w:qFormat/>
    <w:rsid w:val="00FE4B02"/>
    <w:pPr>
      <w:spacing w:before="240" w:after="60"/>
    </w:pPr>
    <w:rPr>
      <w:rFonts w:ascii="Times New Roman" w:hAnsi="Times New Roman"/>
      <w:b/>
      <w:sz w:val="28"/>
    </w:rPr>
  </w:style>
  <w:style w:type="character" w:customStyle="1" w:styleId="Underline">
    <w:name w:val="Underline"/>
    <w:qFormat/>
    <w:rsid w:val="00FE4B02"/>
    <w:rPr>
      <w:u w:val="single"/>
    </w:rPr>
  </w:style>
  <w:style w:type="paragraph" w:styleId="BalloonText">
    <w:name w:val="Balloon Text"/>
    <w:basedOn w:val="Normal"/>
    <w:link w:val="BalloonTextChar"/>
    <w:rsid w:val="00FE4B02"/>
    <w:rPr>
      <w:rFonts w:ascii="Tahoma" w:hAnsi="Tahoma" w:cs="Tahoma"/>
      <w:sz w:val="16"/>
      <w:szCs w:val="16"/>
    </w:rPr>
  </w:style>
  <w:style w:type="character" w:customStyle="1" w:styleId="BalloonTextChar">
    <w:name w:val="Balloon Text Char"/>
    <w:link w:val="BalloonText"/>
    <w:rsid w:val="00FE4B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B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4B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2352</Words>
  <Characters>15755</Characters>
  <Application>Microsoft Office Word</Application>
  <DocSecurity>0</DocSecurity>
  <Lines>626</Lines>
  <Paragraphs>485</Paragraphs>
  <ScaleCrop>false</ScaleCrop>
  <Company>Author-it Software Corporation Ltd.</Company>
  <LinksUpToDate>false</LinksUpToDate>
  <CharactersWithSpaces>17711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AUR20905 Certificate II in Automotive Vehicle Body</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2012-05-27T04:40:00Z</dcterms:created>
  <dcterms:modified xsi:type="dcterms:W3CDTF">2012-05-27T04:40:00Z</dcterms:modified>
</cp:coreProperties>
</file>