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7D0C" w:rsidP="00617D0C">
      <w:pPr>
        <w:pStyle w:val="Title"/>
      </w:pPr>
      <w:r>
        <w:fldChar w:fldCharType="begin"/>
      </w:r>
      <w:r>
        <w:instrText xml:space="preserve"> TITLE   \* MERGEFORMAT </w:instrText>
      </w:r>
      <w:r>
        <w:fldChar w:fldCharType="separate"/>
      </w:r>
      <w:r>
        <w:t>AUR20505 Certificate II in Automotive Vehicle Servicing</w:t>
      </w:r>
      <w:r>
        <w:fldChar w:fldCharType="end"/>
      </w:r>
    </w:p>
    <w:p w:rsidR="00617D0C" w:rsidP="00617D0C">
      <w:pPr>
        <w:pStyle w:val="Version"/>
        <w:sectPr w:rsidSect="007F4E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4ED2" w:rsidP="007F4ED2">
      <w:pPr>
        <w:pStyle w:val="SuperHeading"/>
      </w:pPr>
      <w:r w:rsidRPr="007F4ED2">
        <w:t>AUR20505 Certificate II in Automotive Vehicle Servicing</w:t>
      </w:r>
    </w:p>
    <w:p w:rsidR="00000000" w:rsidRPr="007F4ED2" w:rsidP="007F4ED2">
      <w:pPr>
        <w:pStyle w:val="Heading1"/>
      </w:pPr>
      <w:bookmarkStart w:id="1" w:name="O_381228"/>
      <w:bookmarkEnd w:id="1"/>
      <w:r w:rsidRPr="007F4ED2">
        <w:t>Modification History</w:t>
      </w:r>
    </w:p>
    <w:p w:rsidR="00000000" w:rsidRPr="007F4ED2" w:rsidP="007F4ED2">
      <w:pPr>
        <w:pStyle w:val="BodyText"/>
      </w:pPr>
      <w:r w:rsidRPr="007F4ED2">
        <w:rPr>
          <w:rStyle w:val="SpecialBold"/>
        </w:rPr>
        <w:t xml:space="preserve">Update to </w:t>
      </w:r>
      <w:r w:rsidRPr="007F4ED2">
        <w:rPr>
          <w:rStyle w:val="BoldandItalics"/>
        </w:rPr>
        <w:t>Pathways from the qualification</w:t>
      </w:r>
    </w:p>
    <w:p w:rsidR="00000000" w:rsidRPr="007F4ED2" w:rsidP="007F4ED2">
      <w:pPr>
        <w:pStyle w:val="BodyText"/>
      </w:pPr>
    </w:p>
    <w:p w:rsidR="00000000" w:rsidRPr="007F4ED2" w:rsidP="007F4ED2">
      <w:pPr>
        <w:pStyle w:val="BodyText"/>
      </w:pPr>
      <w:r w:rsidRPr="007F4ED2">
        <w:rPr>
          <w:rStyle w:val="SpecialBold"/>
        </w:rPr>
        <w:t>Three new AUR units of competency:</w:t>
      </w:r>
    </w:p>
    <w:p w:rsidR="00000000" w:rsidRPr="007F4ED2" w:rsidP="007F4ED2">
      <w:pPr>
        <w:pStyle w:val="BodyText"/>
      </w:pPr>
      <w:r w:rsidRPr="007F4ED2">
        <w:t>AURTTE3001</w:t>
      </w:r>
    </w:p>
    <w:p w:rsidR="00000000" w:rsidRPr="007F4ED2" w:rsidP="007F4ED2">
      <w:pPr>
        <w:pStyle w:val="BodyText"/>
      </w:pPr>
      <w:r w:rsidRPr="007F4ED2">
        <w:t>AURTTM3001</w:t>
      </w:r>
    </w:p>
    <w:p w:rsidR="00000000" w:rsidRPr="007F4ED2" w:rsidP="007F4ED2">
      <w:pPr>
        <w:pStyle w:val="BodyText"/>
      </w:pPr>
      <w:r w:rsidRPr="007F4ED2">
        <w:t>AURTTM3002</w:t>
      </w:r>
    </w:p>
    <w:p w:rsidR="00000000" w:rsidRPr="007F4ED2" w:rsidP="007F4ED2">
      <w:pPr>
        <w:pStyle w:val="BodyText"/>
      </w:pPr>
    </w:p>
    <w:p w:rsidR="00000000" w:rsidRPr="007F4ED2" w:rsidP="007F4ED2">
      <w:pPr>
        <w:pStyle w:val="BodyText"/>
      </w:pPr>
      <w:r w:rsidRPr="007F4ED2">
        <w:rPr>
          <w:rStyle w:val="SpecialBold"/>
        </w:rPr>
        <w:t>Ten AUR units of competency updated:</w:t>
      </w:r>
    </w:p>
    <w:p w:rsidR="00000000" w:rsidRPr="007F4ED2" w:rsidP="007F4ED2">
      <w:pPr>
        <w:pStyle w:val="BodyText"/>
      </w:pPr>
      <w:r w:rsidRPr="007F4ED2">
        <w:t>AURT300471</w:t>
      </w:r>
      <w:r w:rsidRPr="007F4ED2">
        <w:t>B replaces AURT300471A</w:t>
      </w:r>
    </w:p>
    <w:p w:rsidR="00000000" w:rsidRPr="007F4ED2" w:rsidP="007F4ED2">
      <w:pPr>
        <w:pStyle w:val="BodyText"/>
      </w:pPr>
      <w:r w:rsidRPr="007F4ED2">
        <w:t>AURTTM3003 replaces AURT301357A</w:t>
      </w:r>
    </w:p>
    <w:p w:rsidR="00000000" w:rsidRPr="007F4ED2" w:rsidP="007F4ED2">
      <w:pPr>
        <w:pStyle w:val="BodyText"/>
      </w:pPr>
      <w:r w:rsidRPr="007F4ED2">
        <w:t>AURTTM3004 replaces AURT301383A</w:t>
      </w:r>
    </w:p>
    <w:p w:rsidR="00000000" w:rsidRPr="007F4ED2" w:rsidP="007F4ED2">
      <w:pPr>
        <w:pStyle w:val="BodyText"/>
      </w:pPr>
      <w:r w:rsidRPr="007F4ED2">
        <w:t>AURTTM3005 replaces AURT334606A</w:t>
      </w:r>
    </w:p>
    <w:p w:rsidR="00000000" w:rsidRPr="007F4ED2" w:rsidP="007F4ED2">
      <w:pPr>
        <w:pStyle w:val="BodyText"/>
      </w:pPr>
      <w:r w:rsidRPr="007F4ED2">
        <w:t>AURTTM3006 replaces AURT334608A</w:t>
      </w:r>
    </w:p>
    <w:p w:rsidR="00000000" w:rsidRPr="007F4ED2" w:rsidP="007F4ED2">
      <w:pPr>
        <w:pStyle w:val="BodyText"/>
      </w:pPr>
      <w:r w:rsidRPr="007F4ED2">
        <w:t>AURTTM3007 replaces AURT334808A</w:t>
      </w:r>
    </w:p>
    <w:p w:rsidR="00000000" w:rsidRPr="007F4ED2" w:rsidP="007F4ED2">
      <w:pPr>
        <w:pStyle w:val="BodyText"/>
      </w:pPr>
      <w:r w:rsidRPr="007F4ED2">
        <w:t>AURTTM3008 replaces AURT301383A</w:t>
      </w:r>
    </w:p>
    <w:p w:rsidR="00000000" w:rsidRPr="007F4ED2" w:rsidP="007F4ED2">
      <w:pPr>
        <w:pStyle w:val="BodyText"/>
      </w:pPr>
      <w:r w:rsidRPr="007F4ED2">
        <w:t>AURTTM3009 replaces AURT334708A</w:t>
      </w:r>
    </w:p>
    <w:p w:rsidR="00000000" w:rsidRPr="007F4ED2" w:rsidP="007F4ED2">
      <w:pPr>
        <w:pStyle w:val="BodyText"/>
      </w:pPr>
      <w:r w:rsidRPr="007F4ED2">
        <w:t>AURTTM3010 replaces AURT301359A</w:t>
      </w:r>
    </w:p>
    <w:p w:rsidR="00000000" w:rsidRPr="007F4ED2" w:rsidP="007F4ED2">
      <w:pPr>
        <w:pStyle w:val="BodyText"/>
      </w:pPr>
      <w:r w:rsidRPr="007F4ED2">
        <w:t>AURTTM3011 replaces AURT301483A</w:t>
      </w:r>
    </w:p>
    <w:p w:rsidR="00000000" w:rsidRPr="007F4ED2" w:rsidP="007F4ED2">
      <w:pPr>
        <w:pStyle w:val="BodyText"/>
      </w:pPr>
    </w:p>
    <w:p w:rsidR="00000000" w:rsidRPr="007F4ED2" w:rsidP="007F4ED2">
      <w:pPr>
        <w:pStyle w:val="BodyText"/>
      </w:pPr>
      <w:r w:rsidRPr="007F4ED2">
        <w:rPr>
          <w:rStyle w:val="SpecialBold"/>
        </w:rPr>
        <w:t>Six imported units of competency updated:</w:t>
      </w:r>
    </w:p>
    <w:p w:rsidR="00000000" w:rsidRPr="007F4ED2" w:rsidP="007F4ED2">
      <w:pPr>
        <w:pStyle w:val="BodyText"/>
      </w:pPr>
      <w:r w:rsidRPr="007F4ED2">
        <w:t>TLID1001A replaces TLID107C</w:t>
      </w:r>
    </w:p>
    <w:p w:rsidR="00000000" w:rsidRPr="007F4ED2" w:rsidP="007F4ED2">
      <w:pPr>
        <w:pStyle w:val="BodyText"/>
      </w:pPr>
      <w:r w:rsidRPr="007F4ED2">
        <w:t>TLID2004A replaces TLID407C</w:t>
      </w:r>
    </w:p>
    <w:p w:rsidR="00000000" w:rsidRPr="007F4ED2" w:rsidP="007F4ED2">
      <w:pPr>
        <w:pStyle w:val="BodyText"/>
      </w:pPr>
      <w:r w:rsidRPr="007F4ED2">
        <w:t>TLID2010A replaces TLID1007C</w:t>
      </w:r>
    </w:p>
    <w:p w:rsidR="00000000" w:rsidRPr="007F4ED2" w:rsidP="007F4ED2">
      <w:pPr>
        <w:pStyle w:val="BodyText"/>
      </w:pPr>
      <w:r w:rsidRPr="007F4ED2">
        <w:t>TLID2013A replaces TLID1307C</w:t>
      </w:r>
    </w:p>
    <w:p w:rsidR="00000000" w:rsidRPr="007F4ED2" w:rsidP="007F4ED2">
      <w:pPr>
        <w:pStyle w:val="BodyText"/>
      </w:pPr>
      <w:r w:rsidRPr="007F4ED2">
        <w:t>TLID3011A replaces TLID1107C</w:t>
      </w:r>
    </w:p>
    <w:p w:rsidR="00000000" w:rsidRPr="007F4ED2" w:rsidP="007F4ED2">
      <w:pPr>
        <w:pStyle w:val="BodyText"/>
      </w:pPr>
      <w:r w:rsidRPr="007F4ED2">
        <w:t>TLILIC</w:t>
      </w:r>
      <w:r w:rsidRPr="007F4ED2">
        <w:t>2001A replaces TLILIC108A</w:t>
      </w:r>
    </w:p>
    <w:p w:rsidR="00000000" w:rsidRPr="007F4ED2" w:rsidP="007F4ED2">
      <w:pPr>
        <w:pStyle w:val="AllowPageBreak"/>
      </w:pPr>
    </w:p>
    <w:p w:rsidR="00000000" w:rsidRPr="007F4ED2" w:rsidP="007F4ED2">
      <w:pPr>
        <w:pStyle w:val="Heading1"/>
      </w:pPr>
      <w:bookmarkStart w:id="2" w:name="O_381233"/>
      <w:bookmarkEnd w:id="2"/>
      <w:r w:rsidRPr="007F4ED2">
        <w:t>Description</w:t>
      </w:r>
    </w:p>
    <w:p w:rsidR="00000000" w:rsidRPr="007F4ED2" w:rsidP="007F4ED2">
      <w:pPr>
        <w:pStyle w:val="BodyText"/>
      </w:pPr>
      <w:r w:rsidRPr="007F4ED2">
        <w:t xml:space="preserve">This qualification covers the skills and knowledge required to perform a range of servicing operations on cars, heavy vehicles and/or motorcycles </w:t>
      </w:r>
      <w:r w:rsidRPr="007F4ED2">
        <w:t>within an automotive service or repair business. It is suitable for entry into the automotive retail, service and repair industry.</w:t>
      </w:r>
    </w:p>
    <w:p w:rsidR="00000000" w:rsidRPr="007F4ED2" w:rsidP="007F4ED2">
      <w:pPr>
        <w:pStyle w:val="BodyText"/>
      </w:pPr>
    </w:p>
    <w:p w:rsidR="00000000" w:rsidRPr="007F4ED2" w:rsidP="007F4ED2">
      <w:pPr>
        <w:pStyle w:val="BodyText"/>
      </w:pPr>
      <w:r w:rsidRPr="007F4ED2">
        <w:rPr>
          <w:rStyle w:val="BoldandItalics"/>
        </w:rPr>
        <w:t>Job roles</w:t>
      </w:r>
      <w:r w:rsidRPr="007F4ED2">
        <w:t>/</w:t>
      </w:r>
      <w:r w:rsidRPr="007F4ED2">
        <w:rPr>
          <w:rStyle w:val="BoldandItalics"/>
        </w:rPr>
        <w:t>employment outcomes</w:t>
      </w:r>
    </w:p>
    <w:p w:rsidR="00000000" w:rsidRPr="007F4ED2" w:rsidP="007F4ED2">
      <w:pPr>
        <w:pStyle w:val="BodyText"/>
      </w:pPr>
      <w:r w:rsidRPr="007F4ED2">
        <w:t>The Certificate II in Automotive Vehicle Servicing is intended to prepare new employees or rec</w:t>
      </w:r>
      <w:r w:rsidRPr="007F4ED2">
        <w:t xml:space="preserve">ognise and develop existing workers who are performing servicing and maintenance of vehicles and/or particular vehicle components or systems in an automotive service or repair business. </w:t>
      </w:r>
    </w:p>
    <w:p w:rsidR="00000000" w:rsidRPr="007F4ED2" w:rsidP="007F4ED2">
      <w:pPr>
        <w:pStyle w:val="BodyText"/>
      </w:pPr>
    </w:p>
    <w:p w:rsidR="00000000" w:rsidRPr="007F4ED2" w:rsidP="007F4ED2">
      <w:pPr>
        <w:pStyle w:val="BodyText"/>
      </w:pPr>
      <w:r w:rsidRPr="007F4ED2">
        <w:rPr>
          <w:rStyle w:val="BoldandItalics"/>
        </w:rPr>
        <w:t>Application</w:t>
      </w:r>
    </w:p>
    <w:p w:rsidR="00000000" w:rsidRPr="007F4ED2" w:rsidP="007F4ED2">
      <w:pPr>
        <w:pStyle w:val="BodyText"/>
      </w:pPr>
      <w:r w:rsidRPr="007F4ED2">
        <w:t>This qualification is suitable for an Australian Apprent</w:t>
      </w:r>
      <w:r w:rsidRPr="007F4ED2">
        <w:t xml:space="preserve">iceship pathway. </w:t>
      </w:r>
    </w:p>
    <w:p w:rsidR="00000000" w:rsidRPr="007F4ED2" w:rsidP="007F4ED2">
      <w:pPr>
        <w:pStyle w:val="AllowPageBreak"/>
      </w:pPr>
    </w:p>
    <w:p w:rsidR="00000000" w:rsidRPr="007F4ED2" w:rsidP="007F4ED2">
      <w:pPr>
        <w:pStyle w:val="Heading1"/>
      </w:pPr>
      <w:bookmarkStart w:id="3" w:name="O_381226"/>
      <w:bookmarkEnd w:id="3"/>
      <w:r w:rsidRPr="007F4ED2">
        <w:t>Pathways Information</w:t>
      </w:r>
    </w:p>
    <w:p w:rsidR="00000000" w:rsidRPr="007F4ED2" w:rsidP="007F4ED2">
      <w:pPr>
        <w:pStyle w:val="BodyText"/>
      </w:pPr>
      <w:r w:rsidRPr="007F4ED2">
        <w:rPr>
          <w:rStyle w:val="BoldandItalics"/>
        </w:rPr>
        <w:t>Pathways into the qualification</w:t>
      </w:r>
    </w:p>
    <w:p w:rsidR="00000000" w:rsidRPr="007F4ED2" w:rsidP="007F4ED2">
      <w:pPr>
        <w:pStyle w:val="BodyText"/>
      </w:pPr>
      <w:r w:rsidRPr="007F4ED2">
        <w:t xml:space="preserve">This qualification may be accessed by direct entry. Credit will be granted towards this qualification to those </w:t>
      </w:r>
      <w:r w:rsidRPr="007F4ED2">
        <w:t xml:space="preserve">who have completed AUR10105 Certificate I in Automotive in this Training Package or other relevant qualifications. </w:t>
      </w:r>
    </w:p>
    <w:p w:rsidR="00000000" w:rsidRPr="007F4ED2" w:rsidP="007F4ED2">
      <w:pPr>
        <w:pStyle w:val="BodyText"/>
      </w:pPr>
    </w:p>
    <w:p w:rsidR="00000000" w:rsidRPr="007F4ED2" w:rsidP="007F4ED2">
      <w:pPr>
        <w:pStyle w:val="BodyText"/>
      </w:pPr>
      <w:r w:rsidRPr="007F4ED2">
        <w:rPr>
          <w:rStyle w:val="BoldandItalics"/>
        </w:rPr>
        <w:t>Pathways from the qualification</w:t>
      </w:r>
      <w:r w:rsidRPr="007F4ED2">
        <w:t xml:space="preserve"> </w:t>
      </w:r>
    </w:p>
    <w:p w:rsidR="00000000" w:rsidRPr="007F4ED2" w:rsidP="007F4ED2">
      <w:pPr>
        <w:pStyle w:val="BodyText"/>
      </w:pPr>
      <w:r w:rsidRPr="007F4ED2">
        <w:t>Further training pathways from this qualification include AUR30405 Certificate III in Automotive Mechanica</w:t>
      </w:r>
      <w:r w:rsidRPr="007F4ED2">
        <w:t>l Technology, AUR30611 Certificate III in Automotive Specialist or other relevant qualifications.</w:t>
      </w:r>
    </w:p>
    <w:p w:rsidR="00000000" w:rsidRPr="007F4ED2" w:rsidP="007F4ED2">
      <w:pPr>
        <w:pStyle w:val="BodyText"/>
      </w:pPr>
    </w:p>
    <w:p w:rsidR="00000000" w:rsidRPr="007F4ED2" w:rsidP="007F4ED2">
      <w:pPr>
        <w:pStyle w:val="BodyText"/>
      </w:pPr>
      <w:r w:rsidRPr="007F4ED2">
        <w:rPr>
          <w:rStyle w:val="BoldandItalics"/>
        </w:rPr>
        <w:t>Additional qualification advice</w:t>
      </w:r>
    </w:p>
    <w:p w:rsidR="00000000" w:rsidRPr="007F4ED2" w:rsidP="007F4ED2">
      <w:pPr>
        <w:pStyle w:val="BodyText"/>
      </w:pPr>
      <w:r w:rsidRPr="007F4ED2">
        <w:t>The Certificate II in Automotive Vehicle Servicing may be attained as a generic qualification, or where a particular occupati</w:t>
      </w:r>
      <w:r w:rsidRPr="007F4ED2">
        <w:t xml:space="preserve">onal outcome is required, may include a specialisation. </w:t>
      </w:r>
    </w:p>
    <w:p w:rsidR="00000000" w:rsidRPr="007F4ED2" w:rsidP="007F4ED2">
      <w:pPr>
        <w:pStyle w:val="BodyText"/>
      </w:pPr>
    </w:p>
    <w:p w:rsidR="00000000" w:rsidRPr="007F4ED2" w:rsidP="007F4ED2">
      <w:pPr>
        <w:pStyle w:val="BodyText"/>
      </w:pPr>
      <w:r w:rsidRPr="007F4ED2">
        <w:t>Specialisations for this qualification include:</w:t>
      </w:r>
    </w:p>
    <w:p w:rsidR="00000000" w:rsidRPr="007F4ED2" w:rsidP="007F4ED2">
      <w:pPr>
        <w:pStyle w:val="ListBullet"/>
      </w:pPr>
      <w:r w:rsidRPr="007F4ED2">
        <w:t>light vehicle</w:t>
      </w:r>
    </w:p>
    <w:p w:rsidR="00000000" w:rsidRPr="007F4ED2" w:rsidP="007F4ED2">
      <w:pPr>
        <w:pStyle w:val="ListBullet"/>
      </w:pPr>
      <w:r w:rsidRPr="007F4ED2">
        <w:t>heavy vehicle</w:t>
      </w:r>
    </w:p>
    <w:p w:rsidR="00000000" w:rsidRPr="007F4ED2" w:rsidP="007F4ED2">
      <w:pPr>
        <w:pStyle w:val="ListBullet"/>
      </w:pPr>
      <w:r w:rsidRPr="007F4ED2">
        <w:t>motorcycle.</w:t>
      </w:r>
    </w:p>
    <w:p w:rsidR="00000000" w:rsidRPr="007F4ED2" w:rsidP="007F4ED2">
      <w:pPr>
        <w:pStyle w:val="BodyText"/>
      </w:pPr>
    </w:p>
    <w:p w:rsidR="00000000" w:rsidRPr="007F4ED2" w:rsidP="007F4ED2">
      <w:pPr>
        <w:pStyle w:val="BodyText"/>
      </w:pPr>
      <w:r w:rsidRPr="007F4ED2">
        <w:t>Advice is provided at the end of this qualification on the recommended units of competency for each speciali</w:t>
      </w:r>
      <w:r w:rsidRPr="007F4ED2">
        <w:t xml:space="preserve">sation. </w:t>
      </w:r>
    </w:p>
    <w:p w:rsidR="00000000" w:rsidRPr="007F4ED2" w:rsidP="007F4ED2">
      <w:pPr>
        <w:pStyle w:val="BodyText"/>
      </w:pPr>
    </w:p>
    <w:p w:rsidR="00000000" w:rsidRPr="007F4ED2" w:rsidP="007F4ED2">
      <w:pPr>
        <w:pStyle w:val="BodyText"/>
      </w:pPr>
      <w:r w:rsidRPr="007F4ED2">
        <w:t>Where elective units of competency are packaged to suit a particular industry sector or occupational outcome, Registered Training Organisations (RTOs) might issue, for example, a:</w:t>
      </w:r>
    </w:p>
    <w:p w:rsidR="00000000" w:rsidRPr="007F4ED2" w:rsidP="007F4ED2">
      <w:pPr>
        <w:pStyle w:val="BodyText"/>
      </w:pPr>
    </w:p>
    <w:tbl>
      <w:tblPr>
        <w:tblW w:w="0" w:type="auto"/>
        <w:tblLayout w:type="fixed"/>
        <w:tblCellMar>
          <w:left w:w="62" w:type="dxa"/>
          <w:right w:w="62" w:type="dxa"/>
        </w:tblCellMar>
        <w:tblLook w:val="0000"/>
      </w:tblPr>
      <w:tblGrid>
        <w:gridCol w:w="2925"/>
        <w:gridCol w:w="2479"/>
        <w:gridCol w:w="3118"/>
      </w:tblGrid>
      <w:tr w:rsidTr="00617D0C">
        <w:tblPrEx>
          <w:tblW w:w="0" w:type="auto"/>
          <w:tblLayout w:type="fixed"/>
          <w:tblCellMar>
            <w:left w:w="62" w:type="dxa"/>
            <w:right w:w="62" w:type="dxa"/>
          </w:tblCellMar>
          <w:tblLook w:val="0000"/>
        </w:tblPrEx>
        <w:trPr>
          <w:tblHeader/>
        </w:trPr>
        <w:tc>
          <w:tcPr>
            <w:tcW w:w="2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r w:rsidRPr="007F4ED2">
              <w:t>Certificate II in Automotive Vehicle Servicing (specialising in l</w:t>
            </w:r>
            <w:r w:rsidRPr="007F4ED2">
              <w:t>ight vehicle)</w:t>
            </w:r>
          </w:p>
        </w:tc>
        <w:tc>
          <w:tcPr>
            <w:tcW w:w="2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rPr>
                <w:rStyle w:val="SpecialBold"/>
              </w:rPr>
              <w:t>OR</w:t>
            </w:r>
          </w:p>
        </w:tc>
        <w:tc>
          <w:tcPr>
            <w:tcW w:w="31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r w:rsidRPr="007F4ED2">
              <w:t>Certificate II in Automotive Vehicle Servicing (light vehicle)</w:t>
            </w:r>
          </w:p>
        </w:tc>
      </w:tr>
    </w:tbl>
    <w:p w:rsidR="00000000" w:rsidRPr="007F4ED2" w:rsidP="007F4ED2">
      <w:pPr>
        <w:pStyle w:val="BodyText"/>
      </w:pPr>
    </w:p>
    <w:p w:rsidR="00000000" w:rsidRPr="007F4ED2" w:rsidP="007F4ED2">
      <w:pPr>
        <w:pStyle w:val="BodyText"/>
      </w:pPr>
      <w:r w:rsidRPr="007F4ED2">
        <w:t xml:space="preserve">It should be noted that a qualification with a specialisation does not change the title of the qualification, although RTOs may choose to record the specialisation </w:t>
      </w:r>
      <w:r w:rsidRPr="007F4ED2">
        <w:rPr>
          <w:rStyle w:val="BoldandItalics"/>
        </w:rPr>
        <w:t>below</w:t>
      </w:r>
      <w:r w:rsidRPr="007F4ED2">
        <w:t xml:space="preserve"> the title. </w:t>
      </w:r>
    </w:p>
    <w:p w:rsidR="00000000" w:rsidRPr="007F4ED2" w:rsidP="007F4ED2">
      <w:pPr>
        <w:pStyle w:val="AllowPageBreak"/>
      </w:pPr>
    </w:p>
    <w:p w:rsidR="00000000" w:rsidRPr="007F4ED2" w:rsidP="007F4ED2">
      <w:pPr>
        <w:pStyle w:val="Heading1"/>
      </w:pPr>
      <w:bookmarkStart w:id="4" w:name="O_381229"/>
      <w:bookmarkEnd w:id="4"/>
      <w:r w:rsidRPr="007F4ED2">
        <w:t>Licensing/Regulatory Information</w:t>
      </w:r>
    </w:p>
    <w:p w:rsidR="00000000" w:rsidRPr="007F4ED2" w:rsidP="007F4ED2">
      <w:pPr>
        <w:pStyle w:val="BodyText"/>
      </w:pPr>
      <w:r w:rsidRPr="007F4ED2">
        <w:rPr>
          <w:rStyle w:val="BoldandItalics"/>
        </w:rPr>
        <w:t>Licensing considerations</w:t>
      </w:r>
    </w:p>
    <w:p w:rsidR="00000000" w:rsidRPr="007F4ED2" w:rsidP="007F4ED2">
      <w:pPr>
        <w:pStyle w:val="BodyText"/>
      </w:pPr>
      <w:r w:rsidRPr="007F4ED2">
        <w:t>Some jurisdictions require this qualification for licensing purposes. In addition some units in this qualification may have licensing or regulatory requirements, depend</w:t>
      </w:r>
      <w:r w:rsidRPr="007F4ED2">
        <w:t>ing on the work context. Local regulations should be checked for details.</w:t>
      </w:r>
    </w:p>
    <w:p w:rsidR="00000000" w:rsidRPr="007F4ED2" w:rsidP="007F4ED2">
      <w:pPr>
        <w:pStyle w:val="AllowPageBreak"/>
      </w:pPr>
    </w:p>
    <w:p w:rsidR="00000000" w:rsidRPr="007F4ED2" w:rsidP="007F4ED2">
      <w:pPr>
        <w:pStyle w:val="Heading1"/>
      </w:pPr>
      <w:bookmarkStart w:id="5" w:name="O_381231"/>
      <w:bookmarkEnd w:id="5"/>
      <w:r w:rsidRPr="007F4ED2">
        <w:t>Entry Requirements</w:t>
      </w:r>
    </w:p>
    <w:p w:rsidR="00000000" w:rsidRPr="007F4ED2" w:rsidP="007F4ED2">
      <w:pPr>
        <w:pStyle w:val="BodyText"/>
      </w:pPr>
      <w:r w:rsidRPr="007F4ED2">
        <w:t>Not Applicable</w:t>
      </w:r>
    </w:p>
    <w:p w:rsidR="00000000" w:rsidRPr="007F4ED2" w:rsidP="007F4ED2">
      <w:pPr>
        <w:pStyle w:val="AllowPageBreak"/>
      </w:pPr>
    </w:p>
    <w:p w:rsidR="00000000" w:rsidRPr="007F4ED2" w:rsidP="007F4ED2">
      <w:pPr>
        <w:pStyle w:val="Heading1"/>
      </w:pPr>
      <w:bookmarkStart w:id="6" w:name="O_381232"/>
      <w:bookmarkEnd w:id="6"/>
      <w:r w:rsidRPr="007F4ED2">
        <w:t>Employability Skills Summary</w:t>
      </w:r>
    </w:p>
    <w:tbl>
      <w:tblPr>
        <w:tblW w:w="9570" w:type="dxa"/>
        <w:tblLayout w:type="fixed"/>
        <w:tblCellMar>
          <w:left w:w="62" w:type="dxa"/>
          <w:right w:w="62" w:type="dxa"/>
        </w:tblCellMar>
        <w:tblLook w:val="0000"/>
      </w:tblPr>
      <w:tblGrid>
        <w:gridCol w:w="2892"/>
        <w:gridCol w:w="6678"/>
      </w:tblGrid>
      <w:tr w:rsidTr="00617D0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rPr>
                <w:rStyle w:val="SpecialBold"/>
              </w:rPr>
              <w:t>EMPLOYABILITY SKILLS QUALIFICATION SUMMARY</w:t>
            </w:r>
          </w:p>
        </w:tc>
      </w:tr>
      <w:tr w:rsidTr="00617D0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The following table contains a summary of the Employability Skills as identified by the Automotive retail, service and repair industry for this qualification. The Employability Skills facets described here are broad industry requirements that may vary depe</w:t>
            </w:r>
            <w:r w:rsidRPr="007F4ED2">
              <w:t>nding on qualification packaging options.</w:t>
            </w:r>
          </w:p>
        </w:tc>
      </w:tr>
      <w:tr w:rsidTr="00617D0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r w:rsidRPr="007F4ED2">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rPr>
                <w:rStyle w:val="SpecialBold"/>
              </w:rPr>
              <w:t>Industry</w:t>
            </w:r>
            <w:r w:rsidRPr="007F4ED2">
              <w:t>/</w:t>
            </w:r>
            <w:r w:rsidRPr="007F4ED2">
              <w:rPr>
                <w:rStyle w:val="SpecialBold"/>
              </w:rPr>
              <w:t>enterprise requirements for this qualification include</w:t>
            </w:r>
            <w:r w:rsidRPr="007F4ED2">
              <w:t>:</w:t>
            </w:r>
          </w:p>
        </w:tc>
      </w:tr>
      <w:tr w:rsidTr="00617D0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ListBullet"/>
            </w:pPr>
            <w:r w:rsidRPr="007F4ED2">
              <w:t>Understanding and carrying out verbal instructions from supervisors and others</w:t>
            </w:r>
          </w:p>
          <w:p w:rsidR="00000000" w:rsidRPr="007F4ED2" w:rsidP="007F4ED2">
            <w:pPr>
              <w:pStyle w:val="ListBullet"/>
            </w:pPr>
            <w:r w:rsidRPr="007F4ED2">
              <w:t>Reading, understanding and completing workplace documentation, forms and records</w:t>
            </w:r>
          </w:p>
          <w:p w:rsidR="00000000" w:rsidRPr="007F4ED2" w:rsidP="007F4ED2">
            <w:pPr>
              <w:pStyle w:val="ListBullet"/>
            </w:pPr>
            <w:r w:rsidRPr="007F4ED2">
              <w:t>Sharing work-related information with other team members using industry terminology</w:t>
            </w:r>
          </w:p>
          <w:p w:rsidR="00000000" w:rsidP="007F4ED2">
            <w:pPr>
              <w:pStyle w:val="ListBullet"/>
              <w:rPr>
                <w:lang w:val="en-NZ"/>
              </w:rPr>
            </w:pPr>
            <w:r w:rsidRPr="007F4ED2">
              <w:t>Communicating with people from a range of social, cultural and ethnic backgrounds</w:t>
            </w:r>
          </w:p>
        </w:tc>
      </w:tr>
      <w:tr w:rsidTr="00617D0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ListBullet"/>
            </w:pPr>
            <w:r w:rsidRPr="007F4ED2">
              <w:t>Contributing positively to the work team environment</w:t>
            </w:r>
          </w:p>
          <w:p w:rsidR="00000000" w:rsidRPr="007F4ED2" w:rsidP="007F4ED2">
            <w:pPr>
              <w:pStyle w:val="ListBullet"/>
            </w:pPr>
            <w:r w:rsidRPr="007F4ED2">
              <w:t>Working effectively with others in a socially diverse environment</w:t>
            </w:r>
          </w:p>
          <w:p w:rsidR="00000000" w:rsidRPr="007F4ED2" w:rsidP="007F4ED2">
            <w:pPr>
              <w:pStyle w:val="ListBullet"/>
            </w:pPr>
            <w:r w:rsidRPr="007F4ED2">
              <w:t>Respecting and understanding the views of others</w:t>
            </w:r>
          </w:p>
          <w:p w:rsidR="00000000" w:rsidRPr="007F4ED2" w:rsidP="007F4ED2">
            <w:pPr>
              <w:pStyle w:val="ListBullet"/>
            </w:pPr>
            <w:r w:rsidRPr="007F4ED2">
              <w:t>Giving, receiving and acting upon feedback</w:t>
            </w:r>
          </w:p>
          <w:p w:rsidR="00000000" w:rsidP="007F4ED2">
            <w:pPr>
              <w:pStyle w:val="ListBullet"/>
              <w:rPr>
                <w:lang w:val="en-NZ"/>
              </w:rPr>
            </w:pPr>
            <w:r w:rsidRPr="007F4ED2">
              <w:t>Identifying and describing own role and rol</w:t>
            </w:r>
            <w:r w:rsidRPr="007F4ED2">
              <w:t>e of others</w:t>
            </w:r>
          </w:p>
        </w:tc>
      </w:tr>
      <w:tr w:rsidTr="00617D0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ListBullet"/>
            </w:pPr>
            <w:r w:rsidRPr="007F4ED2">
              <w:t>Recognising a problem or a potential problem within a vehicle servicing environment</w:t>
            </w:r>
          </w:p>
          <w:p w:rsidR="00000000" w:rsidRPr="007F4ED2" w:rsidP="007F4ED2">
            <w:pPr>
              <w:pStyle w:val="ListBullet"/>
            </w:pPr>
            <w:r w:rsidRPr="007F4ED2">
              <w:t>Seeking information and assistance to solve problems outside own area of responsibility</w:t>
            </w:r>
          </w:p>
          <w:p w:rsidR="00000000" w:rsidP="007F4ED2">
            <w:pPr>
              <w:pStyle w:val="ListBullet"/>
              <w:rPr>
                <w:lang w:val="en-NZ"/>
              </w:rPr>
            </w:pPr>
            <w:r w:rsidRPr="007F4ED2">
              <w:t xml:space="preserve">Solving problems within own area of responsibility </w:t>
            </w:r>
          </w:p>
        </w:tc>
      </w:tr>
      <w:tr w:rsidTr="00617D0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ListBullet"/>
            </w:pPr>
            <w:r w:rsidRPr="007F4ED2">
              <w:t>Suggesting ideas for workplace improvement to supervisors and team members</w:t>
            </w:r>
          </w:p>
          <w:p w:rsidR="00000000" w:rsidRPr="007F4ED2" w:rsidP="007F4ED2">
            <w:pPr>
              <w:pStyle w:val="ListBullet"/>
            </w:pPr>
            <w:r w:rsidRPr="007F4ED2">
              <w:t xml:space="preserve">Positively adapting to changes in workplace procedures and making adjustments to improve own performance </w:t>
            </w:r>
          </w:p>
          <w:p w:rsidR="00000000" w:rsidP="007F4ED2">
            <w:pPr>
              <w:pStyle w:val="ListBullet"/>
              <w:rPr>
                <w:lang w:val="en-NZ"/>
              </w:rPr>
            </w:pPr>
            <w:r w:rsidRPr="007F4ED2">
              <w:t>Taking positive action to report hazards or risk</w:t>
            </w:r>
            <w:r w:rsidRPr="007F4ED2">
              <w:t xml:space="preserve"> situations to supervisors</w:t>
            </w:r>
          </w:p>
        </w:tc>
      </w:tr>
      <w:tr w:rsidTr="00617D0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ListBullet"/>
            </w:pPr>
            <w:r w:rsidRPr="007F4ED2">
              <w:t>Planning daily work tasks to work safely and manage risks according to workplace procedures</w:t>
            </w:r>
          </w:p>
          <w:p w:rsidR="00000000" w:rsidRPr="007F4ED2" w:rsidP="007F4ED2">
            <w:pPr>
              <w:pStyle w:val="ListBullet"/>
            </w:pPr>
            <w:r w:rsidRPr="007F4ED2">
              <w:t>Prioritising activities to achieve required outcomes</w:t>
            </w:r>
          </w:p>
          <w:p w:rsidR="00000000" w:rsidRPr="007F4ED2" w:rsidP="007F4ED2">
            <w:pPr>
              <w:pStyle w:val="ListBullet"/>
            </w:pPr>
            <w:r w:rsidRPr="007F4ED2">
              <w:t>Planning and organising appropriate equipment and material</w:t>
            </w:r>
            <w:r w:rsidRPr="007F4ED2">
              <w:t>s</w:t>
            </w:r>
          </w:p>
          <w:p w:rsidR="00000000" w:rsidP="007F4ED2">
            <w:pPr>
              <w:pStyle w:val="ListBullet"/>
              <w:rPr>
                <w:lang w:val="en-NZ"/>
              </w:rPr>
            </w:pPr>
            <w:r w:rsidRPr="007F4ED2">
              <w:t>Planning ahead to anticipate problems with availability of equipment, materials and personnel to assist</w:t>
            </w:r>
          </w:p>
        </w:tc>
      </w:tr>
      <w:tr w:rsidTr="00617D0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ListBullet"/>
            </w:pPr>
            <w:r w:rsidRPr="007F4ED2">
              <w:t>Following workplace safety requirements and other policies and procedures</w:t>
            </w:r>
          </w:p>
          <w:p w:rsidR="00000000" w:rsidRPr="007F4ED2" w:rsidP="007F4ED2">
            <w:pPr>
              <w:pStyle w:val="ListBullet"/>
            </w:pPr>
            <w:r w:rsidRPr="007F4ED2">
              <w:t>Completing known delegated tasks on time</w:t>
            </w:r>
          </w:p>
          <w:p w:rsidR="00000000" w:rsidRPr="007F4ED2" w:rsidP="007F4ED2">
            <w:pPr>
              <w:pStyle w:val="ListBullet"/>
            </w:pPr>
            <w:r w:rsidRPr="007F4ED2">
              <w:t>Selecting and using appropriate equipment, materials, processes and procedures</w:t>
            </w:r>
          </w:p>
          <w:p w:rsidR="00000000" w:rsidP="007F4ED2">
            <w:pPr>
              <w:pStyle w:val="ListBullet"/>
              <w:rPr>
                <w:lang w:val="en-NZ"/>
              </w:rPr>
            </w:pPr>
            <w:r w:rsidRPr="007F4ED2">
              <w:t>Asking for advice and assistance when appropriate</w:t>
            </w:r>
          </w:p>
        </w:tc>
      </w:tr>
      <w:tr w:rsidTr="00617D0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ListBullet"/>
            </w:pPr>
            <w:r w:rsidRPr="007F4ED2">
              <w:t>Identifying personal strengths and weaknesses</w:t>
            </w:r>
          </w:p>
          <w:p w:rsidR="00000000" w:rsidRPr="007F4ED2" w:rsidP="007F4ED2">
            <w:pPr>
              <w:pStyle w:val="ListBullet"/>
            </w:pPr>
            <w:r w:rsidRPr="007F4ED2">
              <w:t>Acting upon feedback and accepting opportunities to learn to improve w</w:t>
            </w:r>
            <w:r w:rsidRPr="007F4ED2">
              <w:t>ork performance</w:t>
            </w:r>
          </w:p>
          <w:p w:rsidR="00000000" w:rsidP="007F4ED2">
            <w:pPr>
              <w:pStyle w:val="ListBullet"/>
              <w:rPr>
                <w:lang w:val="en-NZ"/>
              </w:rPr>
            </w:pPr>
            <w:r w:rsidRPr="007F4ED2">
              <w:t>Asking questions to gain information and identify sources of information to expand knowledge and understanding</w:t>
            </w:r>
          </w:p>
        </w:tc>
      </w:tr>
      <w:tr w:rsidTr="00617D0C">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ListBullet"/>
            </w:pPr>
            <w:r w:rsidRPr="007F4ED2">
              <w:t>Appropriately selecting and using tools and equipment</w:t>
            </w:r>
          </w:p>
          <w:p w:rsidR="00000000" w:rsidRPr="007F4ED2" w:rsidP="007F4ED2">
            <w:pPr>
              <w:pStyle w:val="ListBullet"/>
            </w:pPr>
            <w:r w:rsidRPr="007F4ED2">
              <w:t>Recognising and reporting faulty equipment</w:t>
            </w:r>
          </w:p>
          <w:p w:rsidR="00000000" w:rsidRPr="007F4ED2" w:rsidP="007F4ED2">
            <w:pPr>
              <w:pStyle w:val="ListBullet"/>
            </w:pPr>
            <w:r w:rsidRPr="007F4ED2">
              <w:t>Using information a</w:t>
            </w:r>
            <w:r w:rsidRPr="007F4ED2">
              <w:t>nd communication technology</w:t>
            </w:r>
          </w:p>
        </w:tc>
      </w:tr>
    </w:tbl>
    <w:p w:rsidR="00000000" w:rsidRPr="007F4ED2" w:rsidP="007F4ED2">
      <w:pPr>
        <w:pStyle w:val="BodyText"/>
      </w:pPr>
    </w:p>
    <w:p w:rsidR="00000000" w:rsidRPr="007F4ED2" w:rsidP="007F4ED2">
      <w:pPr>
        <w:pStyle w:val="AllowPageBreak"/>
      </w:pPr>
    </w:p>
    <w:p w:rsidR="00000000" w:rsidRPr="007F4ED2" w:rsidP="007F4ED2">
      <w:pPr>
        <w:pStyle w:val="Heading1"/>
      </w:pPr>
      <w:bookmarkStart w:id="7" w:name="O_381227"/>
      <w:bookmarkEnd w:id="7"/>
      <w:r w:rsidRPr="007F4ED2">
        <w:t>Packaging Rules</w:t>
      </w:r>
    </w:p>
    <w:p w:rsidR="00000000" w:rsidRPr="007F4ED2" w:rsidP="007F4ED2">
      <w:pPr>
        <w:pStyle w:val="BodyText"/>
      </w:pPr>
      <w:r w:rsidRPr="007F4ED2">
        <w:rPr>
          <w:rStyle w:val="SpecialBold"/>
        </w:rPr>
        <w:t>Packaging Rules</w:t>
      </w:r>
    </w:p>
    <w:p w:rsidR="00000000" w:rsidRPr="007F4ED2" w:rsidP="007F4ED2">
      <w:pPr>
        <w:pStyle w:val="BodyText"/>
      </w:pPr>
      <w:r w:rsidRPr="007F4ED2">
        <w:t xml:space="preserve">To be awarded the Certificate II in Automotive Vehicle Servicing, competency must be achieved in </w:t>
      </w:r>
      <w:r w:rsidRPr="007F4ED2">
        <w:rPr>
          <w:rStyle w:val="SpecialBold"/>
        </w:rPr>
        <w:t>twenty</w:t>
      </w:r>
      <w:r w:rsidRPr="007F4ED2">
        <w:t xml:space="preserve"> (</w:t>
      </w:r>
      <w:r w:rsidRPr="007F4ED2">
        <w:rPr>
          <w:rStyle w:val="SpecialBold"/>
        </w:rPr>
        <w:t>20</w:t>
      </w:r>
      <w:r w:rsidRPr="007F4ED2">
        <w:t>) units of competency.</w:t>
      </w:r>
    </w:p>
    <w:p w:rsidR="00000000" w:rsidRPr="007F4ED2" w:rsidP="007F4ED2">
      <w:pPr>
        <w:pStyle w:val="BodyText"/>
      </w:pPr>
    </w:p>
    <w:p w:rsidR="00000000" w:rsidRPr="007F4ED2" w:rsidP="007F4ED2">
      <w:pPr>
        <w:pStyle w:val="ListBullet"/>
      </w:pPr>
      <w:r w:rsidRPr="007F4ED2">
        <w:rPr>
          <w:rStyle w:val="SpecialBold"/>
        </w:rPr>
        <w:t>two</w:t>
      </w:r>
      <w:r w:rsidRPr="007F4ED2">
        <w:t xml:space="preserve"> (</w:t>
      </w:r>
      <w:r w:rsidRPr="007F4ED2">
        <w:rPr>
          <w:rStyle w:val="SpecialBold"/>
        </w:rPr>
        <w:t>2</w:t>
      </w:r>
      <w:r w:rsidRPr="007F4ED2">
        <w:t xml:space="preserve">) core units of competency </w:t>
      </w:r>
    </w:p>
    <w:p w:rsidR="00000000" w:rsidRPr="007F4ED2" w:rsidP="007F4ED2">
      <w:pPr>
        <w:pStyle w:val="ListBullet"/>
      </w:pPr>
      <w:r w:rsidRPr="007F4ED2">
        <w:rPr>
          <w:rStyle w:val="SpecialBold"/>
        </w:rPr>
        <w:t>eighteen</w:t>
      </w:r>
      <w:r w:rsidRPr="007F4ED2">
        <w:t xml:space="preserve"> (</w:t>
      </w:r>
      <w:r w:rsidRPr="007F4ED2">
        <w:rPr>
          <w:rStyle w:val="SpecialBold"/>
        </w:rPr>
        <w:t>18</w:t>
      </w:r>
      <w:r w:rsidRPr="007F4ED2">
        <w:t>) elective units of competency, as specified below.</w:t>
      </w:r>
    </w:p>
    <w:p w:rsidR="00000000" w:rsidRPr="007F4ED2" w:rsidP="007F4ED2">
      <w:pPr>
        <w:pStyle w:val="BodyText"/>
      </w:pPr>
    </w:p>
    <w:p w:rsidR="00000000" w:rsidRPr="007F4ED2" w:rsidP="007F4ED2">
      <w:pPr>
        <w:pStyle w:val="ListBullet2"/>
      </w:pPr>
      <w:r w:rsidRPr="007F4ED2">
        <w:t xml:space="preserve">a minimum of </w:t>
      </w:r>
      <w:r w:rsidRPr="007F4ED2">
        <w:rPr>
          <w:rStyle w:val="SpecialBold"/>
        </w:rPr>
        <w:t>fifteen</w:t>
      </w:r>
      <w:r w:rsidRPr="007F4ED2">
        <w:t xml:space="preserve"> (</w:t>
      </w:r>
      <w:r w:rsidRPr="007F4ED2">
        <w:rPr>
          <w:rStyle w:val="SpecialBold"/>
        </w:rPr>
        <w:t>15</w:t>
      </w:r>
      <w:r w:rsidRPr="007F4ED2">
        <w:t>) elective units of competency from Group A</w:t>
      </w:r>
    </w:p>
    <w:p w:rsidR="00000000" w:rsidRPr="007F4ED2" w:rsidP="007F4ED2">
      <w:pPr>
        <w:pStyle w:val="ListBullet2"/>
      </w:pPr>
      <w:r w:rsidRPr="007F4ED2">
        <w:t xml:space="preserve">a maximum of </w:t>
      </w:r>
      <w:r w:rsidRPr="007F4ED2">
        <w:rPr>
          <w:rStyle w:val="SpecialBold"/>
        </w:rPr>
        <w:t>three</w:t>
      </w:r>
      <w:r w:rsidRPr="007F4ED2">
        <w:t xml:space="preserve"> (</w:t>
      </w:r>
      <w:r w:rsidRPr="007F4ED2">
        <w:rPr>
          <w:rStyle w:val="SpecialBold"/>
        </w:rPr>
        <w:t>3</w:t>
      </w:r>
      <w:r w:rsidRPr="007F4ED2">
        <w:t>) elective units of competency from Group B, drawn from any combination of:</w:t>
      </w:r>
    </w:p>
    <w:p w:rsidR="00000000" w:rsidRPr="007F4ED2" w:rsidP="007F4ED2">
      <w:pPr>
        <w:pStyle w:val="ListBullet3"/>
      </w:pPr>
      <w:r w:rsidRPr="007F4ED2">
        <w:t>units not already chosen from Grou</w:t>
      </w:r>
      <w:r w:rsidRPr="007F4ED2">
        <w:t xml:space="preserve">p A </w:t>
      </w:r>
    </w:p>
    <w:p w:rsidR="00000000" w:rsidRPr="007F4ED2" w:rsidP="007F4ED2">
      <w:pPr>
        <w:pStyle w:val="ListBullet3"/>
      </w:pPr>
      <w:r w:rsidRPr="007F4ED2">
        <w:t>relevant units available in this Training Package, other endorsed Training Packages and accredited courses, where those units are aligned to Certificate II and III qualifications</w:t>
      </w:r>
    </w:p>
    <w:p w:rsidR="00000000" w:rsidRPr="007F4ED2" w:rsidP="007F4ED2">
      <w:pPr>
        <w:pStyle w:val="ListBullet2"/>
      </w:pPr>
      <w:r w:rsidRPr="007F4ED2">
        <w:t xml:space="preserve">a maximum of </w:t>
      </w:r>
      <w:r w:rsidRPr="007F4ED2">
        <w:rPr>
          <w:rStyle w:val="SpecialBold"/>
        </w:rPr>
        <w:t>two</w:t>
      </w:r>
      <w:r w:rsidRPr="007F4ED2">
        <w:t xml:space="preserve"> (</w:t>
      </w:r>
      <w:r w:rsidRPr="007F4ED2">
        <w:rPr>
          <w:rStyle w:val="SpecialBold"/>
        </w:rPr>
        <w:t>2</w:t>
      </w:r>
      <w:r w:rsidRPr="007F4ED2">
        <w:t xml:space="preserve">) elective units may be selected from units aligned </w:t>
      </w:r>
      <w:r w:rsidRPr="007F4ED2">
        <w:t xml:space="preserve">to Certificate III qualifications. </w:t>
      </w:r>
    </w:p>
    <w:p w:rsidR="00000000" w:rsidRPr="007F4ED2" w:rsidP="007F4ED2">
      <w:pPr>
        <w:pStyle w:val="BodyText"/>
      </w:pPr>
      <w:r w:rsidRPr="007F4ED2">
        <w:rPr>
          <w:rStyle w:val="SpecialBold"/>
        </w:rPr>
        <w:t>Note</w:t>
      </w:r>
      <w:r w:rsidRPr="007F4ED2">
        <w:t>:</w:t>
      </w:r>
    </w:p>
    <w:p w:rsidR="00000000" w:rsidRPr="007F4ED2" w:rsidP="007F4ED2">
      <w:pPr>
        <w:pStyle w:val="BodyText"/>
      </w:pPr>
      <w:r w:rsidRPr="007F4ED2">
        <w:t>Where prerequisite units are identified they must be counted in the total number of units required for completion of the qualification.</w:t>
      </w:r>
    </w:p>
    <w:p w:rsidR="00000000" w:rsidRPr="007F4ED2" w:rsidP="007F4ED2">
      <w:pPr>
        <w:pStyle w:val="BodyText"/>
      </w:pPr>
      <w:r w:rsidRPr="007F4ED2">
        <w:t>The following pairs of units must not be chosen together when achieving this q</w:t>
      </w:r>
      <w:r w:rsidRPr="007F4ED2">
        <w:t>ualification:</w:t>
      </w:r>
    </w:p>
    <w:p w:rsidR="00000000" w:rsidRPr="007F4ED2" w:rsidP="007F4ED2">
      <w:pPr>
        <w:pStyle w:val="BodyText"/>
      </w:pPr>
    </w:p>
    <w:tbl>
      <w:tblPr>
        <w:tblW w:w="0" w:type="auto"/>
        <w:tblLayout w:type="fixed"/>
        <w:tblCellMar>
          <w:left w:w="62" w:type="dxa"/>
          <w:right w:w="62" w:type="dxa"/>
        </w:tblCellMar>
        <w:tblLook w:val="0000"/>
      </w:tblPr>
      <w:tblGrid>
        <w:gridCol w:w="2856"/>
        <w:gridCol w:w="5666"/>
      </w:tblGrid>
      <w:tr w:rsidTr="00617D0C">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MEM05003B</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 xml:space="preserve">Perform soft soldering </w:t>
            </w:r>
          </w:p>
        </w:tc>
      </w:tr>
      <w:tr w:rsidTr="00617D0C">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AURV223808A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r w:rsidRPr="007F4ED2">
              <w:t>Carry out soft soldering techniques</w:t>
            </w:r>
          </w:p>
        </w:tc>
      </w:tr>
    </w:tbl>
    <w:p w:rsidR="00000000" w:rsidRPr="007F4ED2" w:rsidP="007F4ED2">
      <w:pPr>
        <w:pStyle w:val="BodyText"/>
      </w:pPr>
    </w:p>
    <w:tbl>
      <w:tblPr>
        <w:tblW w:w="0" w:type="auto"/>
        <w:tblLayout w:type="fixed"/>
        <w:tblCellMar>
          <w:left w:w="62" w:type="dxa"/>
          <w:right w:w="62" w:type="dxa"/>
        </w:tblCellMar>
        <w:tblLook w:val="0000"/>
      </w:tblPr>
      <w:tblGrid>
        <w:gridCol w:w="2856"/>
        <w:gridCol w:w="5666"/>
      </w:tblGrid>
      <w:tr w:rsidTr="00617D0C">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MEM05004C</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Perform routine oxy acetylene welding</w:t>
            </w:r>
          </w:p>
        </w:tc>
      </w:tr>
      <w:tr w:rsidTr="00617D0C">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AURV223608A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r w:rsidRPr="007F4ED2">
              <w:t>Carry out oxy acetylene welding, thermal cutting and thermal heating procedures</w:t>
            </w:r>
          </w:p>
        </w:tc>
      </w:tr>
    </w:tbl>
    <w:p w:rsidR="00000000" w:rsidRPr="007F4ED2" w:rsidP="007F4ED2">
      <w:pPr>
        <w:pStyle w:val="BodyText"/>
      </w:pPr>
    </w:p>
    <w:tbl>
      <w:tblPr>
        <w:tblW w:w="0" w:type="auto"/>
        <w:tblLayout w:type="fixed"/>
        <w:tblCellMar>
          <w:left w:w="62" w:type="dxa"/>
          <w:right w:w="62" w:type="dxa"/>
        </w:tblCellMar>
        <w:tblLook w:val="0000"/>
      </w:tblPr>
      <w:tblGrid>
        <w:gridCol w:w="2856"/>
        <w:gridCol w:w="5666"/>
      </w:tblGrid>
      <w:tr w:rsidTr="00617D0C">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MEM05007C</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Perform manual heating and thermal cutting</w:t>
            </w:r>
          </w:p>
        </w:tc>
      </w:tr>
      <w:tr w:rsidTr="00617D0C">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AURV223608A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r w:rsidRPr="007F4ED2">
              <w:t>Carry out oxy acetylene welding, thermal cutting and thermal heating procedures</w:t>
            </w:r>
          </w:p>
        </w:tc>
      </w:tr>
    </w:tbl>
    <w:p w:rsidR="00000000" w:rsidRPr="007F4ED2" w:rsidP="007F4ED2">
      <w:pPr>
        <w:pStyle w:val="BodyText"/>
      </w:pPr>
    </w:p>
    <w:tbl>
      <w:tblPr>
        <w:tblW w:w="0" w:type="auto"/>
        <w:tblLayout w:type="fixed"/>
        <w:tblCellMar>
          <w:left w:w="62" w:type="dxa"/>
          <w:right w:w="62" w:type="dxa"/>
        </w:tblCellMar>
        <w:tblLook w:val="0000"/>
      </w:tblPr>
      <w:tblGrid>
        <w:gridCol w:w="2856"/>
        <w:gridCol w:w="5666"/>
      </w:tblGrid>
      <w:tr w:rsidTr="00617D0C">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MEM05017D</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Weld using gas metal arc welding process</w:t>
            </w:r>
          </w:p>
        </w:tc>
      </w:tr>
      <w:tr w:rsidTr="00617D0C">
        <w:tblPrEx>
          <w:tblW w:w="0" w:type="auto"/>
          <w:tblLayout w:type="fixed"/>
          <w:tblCellMar>
            <w:left w:w="62" w:type="dxa"/>
            <w:right w:w="62" w:type="dxa"/>
          </w:tblCellMar>
          <w:tblLook w:val="0000"/>
        </w:tblPrEx>
        <w:tc>
          <w:tcPr>
            <w:tcW w:w="2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AURV281308A</w:t>
            </w:r>
          </w:p>
        </w:tc>
        <w:tc>
          <w:tcPr>
            <w:tcW w:w="5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r w:rsidRPr="007F4ED2">
              <w:t>Carry out gas metal arc (MIG) welding procedures</w:t>
            </w:r>
          </w:p>
        </w:tc>
      </w:tr>
    </w:tbl>
    <w:p w:rsidR="00000000" w:rsidRPr="007F4ED2" w:rsidP="007F4ED2">
      <w:pPr>
        <w:pStyle w:val="BodyText"/>
      </w:pPr>
    </w:p>
    <w:p w:rsidR="00000000" w:rsidRPr="007F4ED2" w:rsidP="007F4ED2">
      <w:pPr>
        <w:pStyle w:val="BodyText"/>
      </w:pPr>
      <w:r w:rsidRPr="007F4ED2">
        <w:rPr>
          <w:rStyle w:val="SpecialBold"/>
        </w:rPr>
        <w:t>Core units of competency</w:t>
      </w:r>
    </w:p>
    <w:p w:rsidR="00000000" w:rsidRPr="007F4ED2" w:rsidP="007F4ED2">
      <w:pPr>
        <w:pStyle w:val="ListBullet"/>
      </w:pPr>
      <w:r w:rsidRPr="007F4ED2">
        <w:t xml:space="preserve">Complete the following </w:t>
      </w:r>
      <w:r w:rsidRPr="007F4ED2">
        <w:rPr>
          <w:rStyle w:val="SpecialBold"/>
        </w:rPr>
        <w:t>two</w:t>
      </w:r>
      <w:r w:rsidRPr="007F4ED2">
        <w:t xml:space="preserve"> (</w:t>
      </w:r>
      <w:r w:rsidRPr="007F4ED2">
        <w:rPr>
          <w:rStyle w:val="SpecialBold"/>
        </w:rPr>
        <w:t>2</w:t>
      </w:r>
      <w:r w:rsidRPr="007F4ED2">
        <w:t>) units of competency.</w:t>
      </w:r>
    </w:p>
    <w:p w:rsidR="00000000" w:rsidRPr="007F4ED2" w:rsidP="007F4ED2">
      <w:pPr>
        <w:pStyle w:val="BodyText"/>
      </w:pPr>
    </w:p>
    <w:tbl>
      <w:tblPr>
        <w:tblW w:w="0" w:type="auto"/>
        <w:tblLayout w:type="fixed"/>
        <w:tblCellMar>
          <w:left w:w="62" w:type="dxa"/>
          <w:right w:w="62" w:type="dxa"/>
        </w:tblCellMar>
        <w:tblLook w:val="0000"/>
      </w:tblPr>
      <w:tblGrid>
        <w:gridCol w:w="2868"/>
        <w:gridCol w:w="5654"/>
      </w:tblGrid>
      <w:tr w:rsidTr="00617D0C">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AURC270103A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Apply safe working practices</w:t>
            </w:r>
          </w:p>
        </w:tc>
      </w:tr>
      <w:tr w:rsidTr="00617D0C">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AURT271781A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r w:rsidRPr="007F4ED2">
              <w:t>Implement and monitor environmental regulations in the automotive mechanical industry</w:t>
            </w:r>
          </w:p>
        </w:tc>
      </w:tr>
    </w:tbl>
    <w:p w:rsidR="00000000" w:rsidRPr="007F4ED2" w:rsidP="007F4ED2">
      <w:pPr>
        <w:pStyle w:val="BodyText"/>
      </w:pPr>
    </w:p>
    <w:p w:rsidR="00000000" w:rsidRPr="007F4ED2" w:rsidP="007F4ED2">
      <w:pPr>
        <w:pStyle w:val="BodyText"/>
      </w:pPr>
      <w:r w:rsidRPr="007F4ED2">
        <w:rPr>
          <w:rStyle w:val="SpecialBold"/>
        </w:rPr>
        <w:t>Elective units of competency</w:t>
      </w:r>
    </w:p>
    <w:p w:rsidR="00000000" w:rsidRPr="007F4ED2" w:rsidP="007F4ED2">
      <w:pPr>
        <w:pStyle w:val="BodyText"/>
      </w:pPr>
    </w:p>
    <w:p w:rsidR="00000000" w:rsidRPr="007F4ED2" w:rsidP="007F4ED2">
      <w:pPr>
        <w:pStyle w:val="BodyText"/>
      </w:pPr>
      <w:r w:rsidRPr="007F4ED2">
        <w:rPr>
          <w:rStyle w:val="SpecialBold"/>
        </w:rPr>
        <w:t>Group A</w:t>
      </w:r>
      <w:r w:rsidRPr="007F4ED2">
        <w:t xml:space="preserve"> - </w:t>
      </w:r>
      <w:r w:rsidRPr="007F4ED2">
        <w:rPr>
          <w:rStyle w:val="SpecialBold"/>
        </w:rPr>
        <w:t>Elective units</w:t>
      </w:r>
      <w:r w:rsidRPr="007F4ED2">
        <w:t xml:space="preserve"> </w:t>
      </w:r>
    </w:p>
    <w:p w:rsidR="00000000" w:rsidRPr="007F4ED2" w:rsidP="007F4ED2">
      <w:pPr>
        <w:pStyle w:val="ListBullet"/>
      </w:pPr>
      <w:r w:rsidRPr="007F4ED2">
        <w:t xml:space="preserve">Complete a minimum of </w:t>
      </w:r>
      <w:r w:rsidRPr="007F4ED2">
        <w:rPr>
          <w:rStyle w:val="SpecialBold"/>
        </w:rPr>
        <w:t>fifteen</w:t>
      </w:r>
      <w:r w:rsidRPr="007F4ED2">
        <w:t xml:space="preserve"> (</w:t>
      </w:r>
      <w:r w:rsidRPr="007F4ED2">
        <w:rPr>
          <w:rStyle w:val="SpecialBold"/>
        </w:rPr>
        <w:t>15</w:t>
      </w:r>
      <w:r w:rsidRPr="007F4ED2">
        <w:t xml:space="preserve">) units of competency from the following lists. </w:t>
      </w:r>
    </w:p>
    <w:p w:rsidR="00000000" w:rsidRPr="007F4ED2" w:rsidP="007F4ED2">
      <w:pPr>
        <w:pStyle w:val="BodyText"/>
      </w:pPr>
    </w:p>
    <w:tbl>
      <w:tblPr>
        <w:tblW w:w="9294" w:type="dxa"/>
        <w:tblLayout w:type="fixed"/>
        <w:tblCellMar>
          <w:left w:w="62" w:type="dxa"/>
          <w:right w:w="62" w:type="dxa"/>
        </w:tblCellMar>
        <w:tblLook w:val="0000"/>
      </w:tblPr>
      <w:tblGrid>
        <w:gridCol w:w="2748"/>
        <w:gridCol w:w="6546"/>
      </w:tblGrid>
      <w:tr w:rsidTr="00617D0C">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rPr>
                <w:rStyle w:val="SpecialBold"/>
              </w:rPr>
              <w:t>Brakes</w:t>
            </w:r>
          </w:p>
        </w:tc>
      </w:tr>
      <w:tr w:rsidTr="00617D0C">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AURE311666A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electric braking systems</w:t>
            </w:r>
          </w:p>
        </w:tc>
      </w:tr>
      <w:tr w:rsidTr="00617D0C">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AURT210170A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and service braking systems</w:t>
            </w:r>
          </w:p>
        </w:tc>
      </w:tr>
      <w:tr w:rsidTr="00617D0C">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AURT210605A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Attach friction materials and radius grind</w:t>
            </w:r>
          </w:p>
        </w:tc>
      </w:tr>
      <w:tr w:rsidTr="00617D0C">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AURT210736A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Machine brake drums and brake disc rotors</w:t>
            </w:r>
          </w:p>
        </w:tc>
      </w:tr>
      <w:tr w:rsidTr="00617D0C">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AURT211170A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and service air braking systems</w:t>
            </w:r>
          </w:p>
        </w:tc>
      </w:tr>
      <w:tr w:rsidTr="00617D0C">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AURT310104A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Assemble and fit braking systems/components</w:t>
            </w:r>
          </w:p>
        </w:tc>
      </w:tr>
      <w:tr w:rsidTr="00617D0C">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AURT310166A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hydraulic braking systems</w:t>
            </w:r>
          </w:p>
        </w:tc>
      </w:tr>
      <w:tr w:rsidTr="00617D0C">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AURT310171A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service and repair auxiliary braking systems</w:t>
            </w:r>
          </w:p>
        </w:tc>
      </w:tr>
      <w:tr w:rsidTr="00617D0C">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AURT311166A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r w:rsidRPr="007F4ED2">
              <w:t>Repair air braking systems</w:t>
            </w:r>
          </w:p>
        </w:tc>
      </w:tr>
    </w:tbl>
    <w:p w:rsidR="00000000" w:rsidRPr="007F4ED2" w:rsidP="007F4ED2">
      <w:pPr>
        <w:pStyle w:val="BodyText"/>
      </w:pPr>
    </w:p>
    <w:tbl>
      <w:tblPr>
        <w:tblW w:w="9297" w:type="dxa"/>
        <w:tblLayout w:type="fixed"/>
        <w:tblCellMar>
          <w:left w:w="62" w:type="dxa"/>
          <w:right w:w="62" w:type="dxa"/>
        </w:tblCellMar>
        <w:tblLook w:val="0000"/>
      </w:tblPr>
      <w:tblGrid>
        <w:gridCol w:w="2760"/>
        <w:gridCol w:w="6537"/>
      </w:tblGrid>
      <w:tr w:rsidTr="00617D0C">
        <w:tblPrEx>
          <w:tblW w:w="9297" w:type="dxa"/>
          <w:tblLayout w:type="fixed"/>
          <w:tblCellMar>
            <w:left w:w="62" w:type="dxa"/>
            <w:right w:w="62" w:type="dxa"/>
          </w:tblCellMar>
          <w:tblLook w:val="0000"/>
        </w:tblPrEx>
        <w:trPr>
          <w:tblHeader/>
        </w:trPr>
        <w:tc>
          <w:tcPr>
            <w:tcW w:w="92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rPr>
                <w:rStyle w:val="SpecialBold"/>
              </w:rPr>
              <w:t>Common</w:t>
            </w:r>
          </w:p>
        </w:tc>
      </w:tr>
      <w:tr w:rsidTr="00617D0C">
        <w:tblPrEx>
          <w:tblW w:w="9297"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AURC270688A</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Work effectively with others</w:t>
            </w:r>
          </w:p>
        </w:tc>
      </w:tr>
      <w:tr w:rsidTr="00617D0C">
        <w:tblPrEx>
          <w:tblW w:w="9297"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AURC270789A</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Communicate effectively in the workplace</w:t>
            </w:r>
          </w:p>
        </w:tc>
      </w:tr>
      <w:tr w:rsidTr="00617D0C">
        <w:tblPrEx>
          <w:tblW w:w="9297"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AURC270889A</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Communicate business information</w:t>
            </w:r>
          </w:p>
        </w:tc>
      </w:tr>
      <w:tr w:rsidTr="00617D0C">
        <w:tblPrEx>
          <w:tblW w:w="9297"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AURC359554A</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Provide technical guidance</w:t>
            </w:r>
          </w:p>
        </w:tc>
      </w:tr>
      <w:tr w:rsidTr="00617D0C">
        <w:tblPrEx>
          <w:tblW w:w="9297"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AURC361101A</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Adapt work processes to new technologies</w:t>
            </w:r>
          </w:p>
        </w:tc>
      </w:tr>
      <w:tr w:rsidTr="00617D0C">
        <w:tblPrEx>
          <w:tblW w:w="9297"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AURC361230A</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technical quality of work</w:t>
            </w:r>
          </w:p>
        </w:tc>
      </w:tr>
      <w:tr w:rsidTr="00617D0C">
        <w:tblPrEx>
          <w:tblW w:w="9297"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AURC361337A</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Maintain quality systems</w:t>
            </w:r>
          </w:p>
        </w:tc>
      </w:tr>
      <w:tr w:rsidTr="00617D0C">
        <w:tblPrEx>
          <w:tblW w:w="9297"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AURC365722A</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Estimate complex jobs</w:t>
            </w:r>
          </w:p>
        </w:tc>
      </w:tr>
      <w:tr w:rsidTr="00617D0C">
        <w:tblPrEx>
          <w:tblW w:w="9297"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BS</w:t>
            </w:r>
            <w:r w:rsidRPr="007F4ED2">
              <w:t>BCMN311B</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Maintain workplace safety</w:t>
            </w:r>
          </w:p>
        </w:tc>
      </w:tr>
      <w:tr w:rsidTr="00617D0C">
        <w:tblPrEx>
          <w:tblW w:w="9297"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HLTFA301B</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Apply first aid</w:t>
            </w:r>
          </w:p>
        </w:tc>
      </w:tr>
      <w:tr w:rsidTr="00617D0C">
        <w:tblPrEx>
          <w:tblW w:w="9297"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MSAENV272B</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Participate in environmentally sustainable work practices</w:t>
            </w:r>
          </w:p>
        </w:tc>
      </w:tr>
      <w:tr w:rsidTr="00617D0C">
        <w:tblPrEx>
          <w:tblW w:w="9297"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TLID2010A</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Operate a forklift</w:t>
            </w:r>
          </w:p>
        </w:tc>
      </w:tr>
      <w:tr w:rsidTr="00617D0C">
        <w:tblPrEx>
          <w:tblW w:w="9297" w:type="dxa"/>
          <w:tblLayout w:type="fixed"/>
          <w:tblCellMar>
            <w:left w:w="62" w:type="dxa"/>
            <w:right w:w="62" w:type="dxa"/>
          </w:tblCellMar>
          <w:tblLook w:val="0000"/>
        </w:tblPrEx>
        <w:trPr>
          <w:trHeight w:val="362"/>
        </w:trPr>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TLID1001A</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Shift materials safely using manual handling methods</w:t>
            </w:r>
          </w:p>
        </w:tc>
      </w:tr>
      <w:tr w:rsidTr="00617D0C">
        <w:tblPrEx>
          <w:tblW w:w="9297"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TLID3011A</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Conduct specialised forklift operations</w:t>
            </w:r>
          </w:p>
        </w:tc>
      </w:tr>
      <w:tr w:rsidTr="00617D0C">
        <w:tblPrEx>
          <w:tblW w:w="9297"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TLID2013A</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Move materials mechanically using automated equipment</w:t>
            </w:r>
          </w:p>
        </w:tc>
      </w:tr>
      <w:tr w:rsidTr="00617D0C">
        <w:tblPrEx>
          <w:tblW w:w="9297"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TLID2004A</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Load and unload goods/cargo</w:t>
            </w:r>
          </w:p>
        </w:tc>
      </w:tr>
      <w:tr w:rsidTr="00617D0C">
        <w:tblPrEx>
          <w:tblW w:w="9297" w:type="dxa"/>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TLILIC2001A</w:t>
            </w:r>
          </w:p>
        </w:tc>
        <w:tc>
          <w:tcPr>
            <w:tcW w:w="6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r w:rsidRPr="007F4ED2">
              <w:t>Licence to operate a forklift truck</w:t>
            </w:r>
          </w:p>
        </w:tc>
      </w:tr>
    </w:tbl>
    <w:p w:rsidR="00000000" w:rsidRPr="007F4ED2" w:rsidP="007F4ED2">
      <w:pPr>
        <w:pStyle w:val="BodyText"/>
      </w:pPr>
    </w:p>
    <w:tbl>
      <w:tblPr>
        <w:tblW w:w="9351" w:type="dxa"/>
        <w:tblLayout w:type="fixed"/>
        <w:tblCellMar>
          <w:left w:w="62" w:type="dxa"/>
          <w:right w:w="62" w:type="dxa"/>
        </w:tblCellMar>
        <w:tblLook w:val="0000"/>
      </w:tblPr>
      <w:tblGrid>
        <w:gridCol w:w="2748"/>
        <w:gridCol w:w="4452"/>
        <w:gridCol w:w="2151"/>
      </w:tblGrid>
      <w:tr w:rsidTr="00617D0C">
        <w:tblPrEx>
          <w:tblW w:w="9351" w:type="dxa"/>
          <w:tblLayout w:type="fixed"/>
          <w:tblCellMar>
            <w:left w:w="62" w:type="dxa"/>
            <w:right w:w="62" w:type="dxa"/>
          </w:tblCellMar>
          <w:tblLook w:val="0000"/>
        </w:tblPrEx>
        <w:trPr>
          <w:tblHeader/>
        </w:trPr>
        <w:tc>
          <w:tcPr>
            <w:tcW w:w="72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r w:rsidRPr="007F4ED2">
              <w:rPr>
                <w:rStyle w:val="SpecialBold"/>
              </w:rPr>
              <w:t>Electrical and electronic</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rPr>
                <w:rStyle w:val="SpecialBold"/>
              </w:rPr>
              <w:t>Prerequisites</w:t>
            </w: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AURE218664A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Remove and replace electrical/electronic units/assemblies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AURE218670A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maintain or replace batteries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AURE218676A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Test, service and charge batteries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AURE218708A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Carry out repairs to single electrical circuits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AURE218764A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Remove, refit and test electrical componentry for normal operation following body repair activities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AURE219331A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Install, test and repair low voltage wiring/lighting systems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AURE219431A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Install, test and repair electrical security systems/components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w:t>
            </w:r>
            <w:r w:rsidRPr="007F4ED2">
              <w:t>URE219531A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Install ancillary electrical components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AURE220140A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Manufacture and repair wiring harness/looms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AURE224008A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Carry out soldering of electrical wiring/circuits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AURE318866A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electrical systems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AURE318966A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instruments and warning systems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AURE319145A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Overhaul charging system alternators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AURE319166B</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charging systems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AURE319245A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Overhaul starting motors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AURE319266B</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starting systems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AURE319271A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service and repair AC electric motor drive systems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AURE320031B</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Install marine electrical systems and components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AURE320066B</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Diagnose and repair marine electrical systems and components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AURE320666B</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ignition systems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AURE320871A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and repair electronically controlled steering systems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AURE320971A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and repair electronically controlled suspension systems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AURE321066A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electronic systems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AURE321171A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and repair electronic spark ignition engine management</w:t>
            </w:r>
            <w:r w:rsidRPr="007F4ED2">
              <w:t xml:space="preserve"> systems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AURE321271A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and repair electronic drive management systems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AURE321371A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and repair electronic body management systems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AURE321471A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and repair electronically controlled anti-lock braking systems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AURE321571A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and repair electronically operated traction control system</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AURE321671A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and repair electronically operated stability control systems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AURE321771A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and repair electronic compression ignition engine management systems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AURE321831B</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w:t>
            </w:r>
            <w:r w:rsidRPr="007F4ED2">
              <w:t>nstall marine electronic systems and components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51"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AURE321971A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service and repair electronic management, monitoring and tracking systems</w:t>
            </w:r>
          </w:p>
        </w:tc>
        <w:tc>
          <w:tcPr>
            <w:tcW w:w="21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p>
        </w:tc>
      </w:tr>
    </w:tbl>
    <w:p w:rsidR="00000000" w:rsidRPr="007F4ED2" w:rsidP="007F4ED2">
      <w:pPr>
        <w:pStyle w:val="BodyText"/>
      </w:pPr>
    </w:p>
    <w:tbl>
      <w:tblPr>
        <w:tblW w:w="9360" w:type="dxa"/>
        <w:tblLayout w:type="fixed"/>
        <w:tblCellMar>
          <w:left w:w="62" w:type="dxa"/>
          <w:right w:w="62" w:type="dxa"/>
        </w:tblCellMar>
        <w:tblLook w:val="0000"/>
      </w:tblPr>
      <w:tblGrid>
        <w:gridCol w:w="2700"/>
        <w:gridCol w:w="4500"/>
        <w:gridCol w:w="2160"/>
      </w:tblGrid>
      <w:tr w:rsidTr="00617D0C">
        <w:tblPrEx>
          <w:tblW w:w="9360" w:type="dxa"/>
          <w:tblLayout w:type="fixed"/>
          <w:tblCellMar>
            <w:left w:w="62" w:type="dxa"/>
            <w:right w:w="62" w:type="dxa"/>
          </w:tblCellMar>
          <w:tblLook w:val="0000"/>
        </w:tblPrEx>
        <w:trPr>
          <w:tblHeader/>
        </w:trPr>
        <w:tc>
          <w:tcPr>
            <w:tcW w:w="72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r w:rsidRPr="007F4ED2">
              <w:rPr>
                <w:rStyle w:val="SpecialBold"/>
              </w:rPr>
              <w:t>Engines</w:t>
            </w:r>
            <w:r w:rsidRPr="007F4ED2">
              <w:t xml:space="preserve">, </w:t>
            </w:r>
            <w:r w:rsidRPr="007F4ED2">
              <w:rPr>
                <w:rStyle w:val="SpecialBold"/>
              </w:rPr>
              <w:t>systems and transmissions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rPr>
                <w:rStyle w:val="SpecialBold"/>
              </w:rPr>
              <w:t>Prerequisites</w:t>
            </w: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AURT200368A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Select and use bearings, seals, ga</w:t>
            </w:r>
            <w:r w:rsidRPr="007F4ED2">
              <w:t>skets, sealants and adhesives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AURT201164A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Remove and install engine assemblies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AURT201170A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 xml:space="preserve">Inspect and service engines </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AURT202166B</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cooling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AURT202170B</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and service cooling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AURT202608A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Carry out radiator repairs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AURT203170B</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petrol fuel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AURT203670B</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diesel fuel injection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AURT204670A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and service emission control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AURT205123A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Fabricate exhaust system/components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AURT205166A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exhaust system components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AURT206670A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and service transmissions (manual)</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AURT207170A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and service transmissions (automatic)</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AURT208170A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transmissions (hydrostatic)</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AURT212670A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final drive assemblies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AURT213165A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Remove and refit driveline components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AURT213170A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final drive (driveline)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AURT303166B</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petrol fuel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AURT303666A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diesel fuel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AURT304031A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Install LPG/CNG electrical control equipment</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AURT304231A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Install LPG fuel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AURT304266A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LPG fuel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AURT304270A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LPG fuel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AURT304331A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Install CNG fuel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AURT304366A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CNG fuel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AURT304370A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CNG fuel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AURT304431A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Install LNG fuel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AURT304466A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LNG fuel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AURT304470A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LNG fuel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AURT304666A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and replace emission control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AURT305671A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and repair engine forced induction systems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AURT306170A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service and/or repair clutch assemblies and associated operating system components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AURT308166A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transmissions (hydrostatic)</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AURT334972A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Set, operate and monitor specialist machines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AURT335108A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Carry out machining operations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AURTH301166A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engines and associated engine components (heavy vehicle)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AURTH306666A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transmissions - manual (heavy vehicle)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AURTH307165A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test and replace transmissions - automatic (heavy vehicle)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AURTH307166A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transmissions</w:t>
            </w:r>
            <w:r w:rsidRPr="007F4ED2">
              <w:t xml:space="preserve"> - automatic (heavy vehicle)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AURTH312666A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final drive assemblies (heavy vehicle)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AURTH313166A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final drive - driveline (heavy vehicle)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AURTL301166A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engines and associated engine components (light vehicle)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AURTL306666A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transmissions - manual (light vehicle)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AURTL307166A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transmissions - automatic (light vehicle)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AURTL312666A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final drive assemblies (light vehicle)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AURTL313166A</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final drive - driveline (light vehicle)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AURTTE3001</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Apply knowledge of engine science</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AURTTM3001</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Operate and monitor computer numerical control machines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AURTTM3002</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bearing tunnels and connecting rods in engines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AURTTM3003</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Apply metal to rebuild engine components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AURTTM3004</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Assemble engine blo</w:t>
            </w:r>
            <w:r w:rsidRPr="007F4ED2">
              <w:t>cks and sub-assemblies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AURTTM3005</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Balance rotating and reciprocating engine components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AURTTM3006</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Perform advanced machining and blueprinting of engine components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AURTTM3007</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Carry out grinding operations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rPr>
          <w:trHeight w:val="630"/>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AURTTM3008</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Dismantle and evaluate engine blocks and sub-assemblies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AURTTM3009</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Fit sleeves and bore and hone engine cylinders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AURTTM3010</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Heat treat, straighten and reclaim engine components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AURTTM3011</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Recondition engine cylinder heads</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360"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MEM07005C</w:t>
            </w:r>
          </w:p>
        </w:tc>
        <w:tc>
          <w:tcPr>
            <w:tcW w:w="4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 xml:space="preserve">Perform general machining </w:t>
            </w:r>
          </w:p>
        </w:tc>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r w:rsidRPr="007F4ED2">
              <w:t>MEM09002B MEM12023A MEM18001C</w:t>
            </w:r>
          </w:p>
        </w:tc>
      </w:tr>
    </w:tbl>
    <w:p w:rsidR="00000000" w:rsidRPr="007F4ED2" w:rsidP="007F4ED2">
      <w:pPr>
        <w:pStyle w:val="BodyText"/>
      </w:pPr>
    </w:p>
    <w:tbl>
      <w:tblPr>
        <w:tblW w:w="9294" w:type="dxa"/>
        <w:tblLayout w:type="fixed"/>
        <w:tblCellMar>
          <w:left w:w="62" w:type="dxa"/>
          <w:right w:w="62" w:type="dxa"/>
        </w:tblCellMar>
        <w:tblLook w:val="0000"/>
      </w:tblPr>
      <w:tblGrid>
        <w:gridCol w:w="2700"/>
        <w:gridCol w:w="6594"/>
      </w:tblGrid>
      <w:tr w:rsidTr="00617D0C">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rPr>
                <w:rStyle w:val="SpecialBold"/>
              </w:rPr>
              <w:t>General mechanical</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AURC252103A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Apply basic automotive troubleshooting processes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AURT200108A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Carry out servicing operations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AURT209170A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hydraulic systems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AURT209671A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service and repair pneumatic systems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AURT222170A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air compressors and air lines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AURT222171A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repair and replace air compressors/components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AURT222631A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Install air conditioning systems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AURT222670A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air conditioning systems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AURT223104A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Assemble and install refrigeration systems/components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AURT225156A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Read and interpret engineering drawings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AURT225191A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Produce drawings from design concepts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AURT225291A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Produce patterns and templates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AURT225667A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Use and maintain measuring equipment</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AURT226008A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Carry out pre-repair operations (mechanical)</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AURT237272A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and repair trailers up to 4.5 tonnes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AURT270278A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Use and maintain workplace tools and equipment</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AURT300373A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Synchronise plant/equipment</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AURT300471B</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service and repair harvesting equipment</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AURT300571A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service and repair crop planting and seeding equipment</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AURT300671A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service and repair spraying and spreading equipment</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AURT300771A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service and repair lif</w:t>
            </w:r>
            <w:r w:rsidRPr="007F4ED2">
              <w:t>t truck mast assemblies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AURT309131B</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 xml:space="preserve">Install hydraulic systems to specified applications </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AURT309140A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Manufacture and install fluid power hose assemblies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AURT309166A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 xml:space="preserve">Repair hydraulic systems </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AURT309604A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Assemble and install pneumatic systems/components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AURT309627A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Identify and apply pneumatic wheeled traction performance enhancement systems (heavy vehicle)</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AURT322645A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Overhaul air conditioning system components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AURT322666A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 xml:space="preserve">Repair/retrofit air conditioning systems </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AURT325149A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Prepare engineering dra</w:t>
            </w:r>
            <w:r w:rsidRPr="007F4ED2">
              <w:t>wings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AURT337119A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Drive and manoeuvre trailer(s)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AURT337273A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and repair trailers in excess of 4.5 tonnes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AURT365130A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vehicle systems and determine preferred repair action</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AURT365508A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Carry out vehicle safety/roadworthy inspection</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AURT366108A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Carry out diagnostic procedures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AURT366308A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Carry out advanced diagnostic procedures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MEM09002B</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Interpret technical drawing</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MEM12023A</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Perform engineering measurements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MEM18001C</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Use hand tools</w:t>
            </w:r>
          </w:p>
        </w:tc>
      </w:tr>
      <w:tr w:rsidTr="00617D0C">
        <w:tblPrEx>
          <w:tblW w:w="9294"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MEM18002B</w:t>
            </w:r>
          </w:p>
        </w:tc>
        <w:tc>
          <w:tcPr>
            <w:tcW w:w="6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r w:rsidRPr="007F4ED2">
              <w:t>Use power tools/hand held operations</w:t>
            </w:r>
          </w:p>
        </w:tc>
      </w:tr>
    </w:tbl>
    <w:p w:rsidR="00000000" w:rsidRPr="007F4ED2" w:rsidP="007F4ED2">
      <w:pPr>
        <w:pStyle w:val="BodyText"/>
      </w:pPr>
    </w:p>
    <w:tbl>
      <w:tblPr>
        <w:tblW w:w="9294" w:type="dxa"/>
        <w:tblLayout w:type="fixed"/>
        <w:tblCellMar>
          <w:left w:w="62" w:type="dxa"/>
          <w:right w:w="62" w:type="dxa"/>
        </w:tblCellMar>
        <w:tblLook w:val="0000"/>
      </w:tblPr>
      <w:tblGrid>
        <w:gridCol w:w="2919"/>
        <w:gridCol w:w="6375"/>
      </w:tblGrid>
      <w:tr w:rsidTr="00617D0C">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rPr>
                <w:rStyle w:val="SpecialBold"/>
              </w:rPr>
              <w:t>Steering and suspension</w:t>
            </w:r>
          </w:p>
        </w:tc>
      </w:tr>
      <w:tr w:rsidTr="00617D0C">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AURT215130A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steering systems</w:t>
            </w:r>
          </w:p>
        </w:tc>
      </w:tr>
      <w:tr w:rsidTr="00617D0C">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AURT215170A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Insect and service steering systems</w:t>
            </w:r>
          </w:p>
        </w:tc>
      </w:tr>
      <w:tr w:rsidTr="00617D0C">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AURT216130A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suspension system</w:t>
            </w:r>
          </w:p>
        </w:tc>
      </w:tr>
      <w:tr w:rsidTr="00617D0C">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AURT216170A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and service suspension systems</w:t>
            </w:r>
          </w:p>
        </w:tc>
      </w:tr>
      <w:tr w:rsidTr="00617D0C">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AURT316168A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Select and install performance enhanced suspension system products</w:t>
            </w:r>
          </w:p>
        </w:tc>
      </w:tr>
      <w:tr w:rsidTr="00617D0C">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AURT316171A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and rectify faults in lift assisted suspension systems</w:t>
            </w:r>
          </w:p>
        </w:tc>
      </w:tr>
      <w:tr w:rsidTr="00617D0C">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AURT316271A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service and repair tracked type drive and support systems</w:t>
            </w:r>
          </w:p>
        </w:tc>
      </w:tr>
      <w:tr w:rsidTr="00617D0C">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AURT316316A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Determine compliance</w:t>
            </w:r>
            <w:r w:rsidRPr="007F4ED2">
              <w:t xml:space="preserve"> of steering and suspension modifications</w:t>
            </w:r>
          </w:p>
        </w:tc>
      </w:tr>
      <w:tr w:rsidTr="00617D0C">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AURTH315166A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steering systems (heavy vehicle)</w:t>
            </w:r>
          </w:p>
        </w:tc>
      </w:tr>
      <w:tr w:rsidTr="00617D0C">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AURTH316166A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suspension systems (heavy vehicle)</w:t>
            </w:r>
          </w:p>
        </w:tc>
      </w:tr>
      <w:tr w:rsidTr="00617D0C">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AURTL315166A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steering systems (light vehicle)</w:t>
            </w:r>
          </w:p>
        </w:tc>
      </w:tr>
      <w:tr w:rsidTr="00617D0C">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AURTL316166A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suspension systems (light vehicle)</w:t>
            </w:r>
          </w:p>
        </w:tc>
      </w:tr>
      <w:tr w:rsidTr="00617D0C">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AURTM315166A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Repair steering systems (motorcycle)</w:t>
            </w:r>
          </w:p>
        </w:tc>
      </w:tr>
      <w:tr w:rsidTr="00617D0C">
        <w:tblPrEx>
          <w:tblW w:w="9294" w:type="dxa"/>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AURTM316166A</w:t>
            </w:r>
          </w:p>
        </w:tc>
        <w:tc>
          <w:tcPr>
            <w:tcW w:w="63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r w:rsidRPr="007F4ED2">
              <w:t>Repair suspension systems (motorcycle)</w:t>
            </w:r>
          </w:p>
        </w:tc>
      </w:tr>
    </w:tbl>
    <w:p w:rsidR="00000000" w:rsidRPr="007F4ED2" w:rsidP="007F4ED2">
      <w:pPr>
        <w:pStyle w:val="BodyText"/>
      </w:pPr>
    </w:p>
    <w:tbl>
      <w:tblPr>
        <w:tblW w:w="9297" w:type="dxa"/>
        <w:tblLayout w:type="fixed"/>
        <w:tblCellMar>
          <w:left w:w="62" w:type="dxa"/>
          <w:right w:w="62" w:type="dxa"/>
        </w:tblCellMar>
        <w:tblLook w:val="0000"/>
      </w:tblPr>
      <w:tblGrid>
        <w:gridCol w:w="2894"/>
        <w:gridCol w:w="6403"/>
      </w:tblGrid>
      <w:tr w:rsidTr="00617D0C">
        <w:tblPrEx>
          <w:tblW w:w="9297" w:type="dxa"/>
          <w:tblLayout w:type="fixed"/>
          <w:tblCellMar>
            <w:left w:w="62" w:type="dxa"/>
            <w:right w:w="62" w:type="dxa"/>
          </w:tblCellMar>
          <w:tblLook w:val="0000"/>
        </w:tblPrEx>
        <w:trPr>
          <w:tblHeader/>
        </w:trPr>
        <w:tc>
          <w:tcPr>
            <w:tcW w:w="929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rPr>
                <w:rStyle w:val="SpecialBold"/>
              </w:rPr>
              <w:t>Tyres</w:t>
            </w:r>
            <w:r w:rsidRPr="007F4ED2">
              <w:t xml:space="preserve">, </w:t>
            </w:r>
            <w:r w:rsidRPr="007F4ED2">
              <w:rPr>
                <w:rStyle w:val="SpecialBold"/>
              </w:rPr>
              <w:t>rims and wheels</w:t>
            </w:r>
          </w:p>
        </w:tc>
      </w:tr>
      <w:tr w:rsidTr="00617D0C">
        <w:tblPrEx>
          <w:tblW w:w="9297"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AURT217606A</w:t>
            </w:r>
          </w:p>
        </w:tc>
        <w:tc>
          <w:tcPr>
            <w:tcW w:w="6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Balance wheels and tyres</w:t>
            </w:r>
          </w:p>
        </w:tc>
      </w:tr>
      <w:tr w:rsidTr="00617D0C">
        <w:tblPrEx>
          <w:tblW w:w="9297"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AURT217665A</w:t>
            </w:r>
          </w:p>
        </w:tc>
        <w:tc>
          <w:tcPr>
            <w:tcW w:w="6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Remove, fit and inspect wheel assemblies</w:t>
            </w:r>
          </w:p>
        </w:tc>
      </w:tr>
      <w:tr w:rsidTr="00617D0C">
        <w:tblPrEx>
          <w:tblW w:w="9297"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AURT217668A</w:t>
            </w:r>
          </w:p>
        </w:tc>
        <w:tc>
          <w:tcPr>
            <w:tcW w:w="6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Select tyres and rims for specific applications (light)</w:t>
            </w:r>
          </w:p>
        </w:tc>
      </w:tr>
      <w:tr w:rsidTr="00617D0C">
        <w:tblPrEx>
          <w:tblW w:w="9297"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AURT217766A</w:t>
            </w:r>
          </w:p>
        </w:tc>
        <w:tc>
          <w:tcPr>
            <w:tcW w:w="6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Remove, inspect, repair and fit tyres and tubes (light)</w:t>
            </w:r>
          </w:p>
        </w:tc>
      </w:tr>
      <w:tr w:rsidTr="00617D0C">
        <w:tblPrEx>
          <w:tblW w:w="9297"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AURT217865A</w:t>
            </w:r>
          </w:p>
        </w:tc>
        <w:tc>
          <w:tcPr>
            <w:tcW w:w="6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Remove and refit wheel hubs and associated brake components</w:t>
            </w:r>
          </w:p>
        </w:tc>
      </w:tr>
      <w:tr w:rsidTr="00617D0C">
        <w:tblPrEx>
          <w:tblW w:w="9297"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w:t>
            </w:r>
            <w:r w:rsidRPr="007F4ED2">
              <w:t>T217966A</w:t>
            </w:r>
          </w:p>
        </w:tc>
        <w:tc>
          <w:tcPr>
            <w:tcW w:w="6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Remove, inspect, repair and fit tyres and tubes (heavy)</w:t>
            </w:r>
          </w:p>
        </w:tc>
      </w:tr>
      <w:tr w:rsidTr="00617D0C">
        <w:tblPrEx>
          <w:tblW w:w="9297"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AURT217985A</w:t>
            </w:r>
          </w:p>
        </w:tc>
        <w:tc>
          <w:tcPr>
            <w:tcW w:w="6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Fit tyres and rims for specific applications (heavy)</w:t>
            </w:r>
          </w:p>
        </w:tc>
      </w:tr>
      <w:tr w:rsidTr="00617D0C">
        <w:tblPrEx>
          <w:tblW w:w="9297"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AURT317172A</w:t>
            </w:r>
          </w:p>
        </w:tc>
        <w:tc>
          <w:tcPr>
            <w:tcW w:w="6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Reset steering system alignment adjustments to customer specifications</w:t>
            </w:r>
          </w:p>
        </w:tc>
      </w:tr>
      <w:tr w:rsidTr="00617D0C">
        <w:tblPrEx>
          <w:tblW w:w="9297"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AURT317968A</w:t>
            </w:r>
          </w:p>
        </w:tc>
        <w:tc>
          <w:tcPr>
            <w:tcW w:w="6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Identify and fit tyres and rims for specific applications (heavy)</w:t>
            </w:r>
          </w:p>
        </w:tc>
      </w:tr>
      <w:tr w:rsidTr="00617D0C">
        <w:tblPrEx>
          <w:tblW w:w="9297"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AURT318054A</w:t>
            </w:r>
          </w:p>
        </w:tc>
        <w:tc>
          <w:tcPr>
            <w:tcW w:w="6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Provide advice on the effects of wheel and tyre combinations</w:t>
            </w:r>
          </w:p>
        </w:tc>
      </w:tr>
      <w:tr w:rsidTr="00617D0C">
        <w:tblPrEx>
          <w:tblW w:w="9297"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AURTH317108A</w:t>
            </w:r>
          </w:p>
        </w:tc>
        <w:tc>
          <w:tcPr>
            <w:tcW w:w="6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Carry out wheel alignment operations (heavy vehicle)</w:t>
            </w:r>
          </w:p>
        </w:tc>
      </w:tr>
      <w:tr w:rsidTr="00617D0C">
        <w:tblPrEx>
          <w:tblW w:w="9297" w:type="dxa"/>
          <w:tblLayout w:type="fixed"/>
          <w:tblCellMar>
            <w:left w:w="62" w:type="dxa"/>
            <w:right w:w="62" w:type="dxa"/>
          </w:tblCellMar>
          <w:tblLook w:val="0000"/>
        </w:tblPrEx>
        <w:tc>
          <w:tcPr>
            <w:tcW w:w="2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AURTL317108A</w:t>
            </w:r>
          </w:p>
        </w:tc>
        <w:tc>
          <w:tcPr>
            <w:tcW w:w="64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r w:rsidRPr="007F4ED2">
              <w:t>Carry out wheel alignment operation</w:t>
            </w:r>
            <w:r w:rsidRPr="007F4ED2">
              <w:t>s (light vehicle)</w:t>
            </w:r>
          </w:p>
        </w:tc>
      </w:tr>
    </w:tbl>
    <w:p w:rsidR="00000000" w:rsidRPr="007F4ED2" w:rsidP="007F4ED2">
      <w:pPr>
        <w:pStyle w:val="BodyText"/>
      </w:pPr>
    </w:p>
    <w:tbl>
      <w:tblPr>
        <w:tblW w:w="9294" w:type="dxa"/>
        <w:tblLayout w:type="fixed"/>
        <w:tblCellMar>
          <w:left w:w="62" w:type="dxa"/>
          <w:right w:w="62" w:type="dxa"/>
        </w:tblCellMar>
        <w:tblLook w:val="0000"/>
      </w:tblPr>
      <w:tblGrid>
        <w:gridCol w:w="2748"/>
        <w:gridCol w:w="6546"/>
      </w:tblGrid>
      <w:tr w:rsidTr="00617D0C">
        <w:tblPrEx>
          <w:tblW w:w="9294" w:type="dxa"/>
          <w:tblLayout w:type="fixed"/>
          <w:tblCellMar>
            <w:left w:w="62" w:type="dxa"/>
            <w:right w:w="62" w:type="dxa"/>
          </w:tblCellMar>
          <w:tblLook w:val="0000"/>
        </w:tblPrEx>
        <w:trPr>
          <w:tblHeader/>
        </w:trPr>
        <w:tc>
          <w:tcPr>
            <w:tcW w:w="92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rPr>
                <w:rStyle w:val="SpecialBold"/>
              </w:rPr>
              <w:t>Vehicle body</w:t>
            </w:r>
          </w:p>
        </w:tc>
      </w:tr>
      <w:tr w:rsidTr="00617D0C">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AURV327164A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Remove and replace supplementary restraint systems (SRS)</w:t>
            </w:r>
          </w:p>
        </w:tc>
      </w:tr>
      <w:tr w:rsidTr="00617D0C">
        <w:tblPrEx>
          <w:tblW w:w="9294"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AURV328166A</w:t>
            </w:r>
          </w:p>
        </w:tc>
        <w:tc>
          <w:tcPr>
            <w:tcW w:w="6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r w:rsidRPr="007F4ED2">
              <w:t>Repair and align motorcycle frames</w:t>
            </w:r>
          </w:p>
        </w:tc>
      </w:tr>
    </w:tbl>
    <w:p w:rsidR="00000000" w:rsidRPr="007F4ED2" w:rsidP="007F4ED2">
      <w:pPr>
        <w:pStyle w:val="BodyText"/>
      </w:pPr>
    </w:p>
    <w:tbl>
      <w:tblPr>
        <w:tblW w:w="9287" w:type="dxa"/>
        <w:tblLayout w:type="fixed"/>
        <w:tblCellMar>
          <w:left w:w="62" w:type="dxa"/>
          <w:right w:w="62" w:type="dxa"/>
        </w:tblCellMar>
        <w:tblLook w:val="0000"/>
      </w:tblPr>
      <w:tblGrid>
        <w:gridCol w:w="2748"/>
        <w:gridCol w:w="4452"/>
        <w:gridCol w:w="2087"/>
      </w:tblGrid>
      <w:tr w:rsidTr="00617D0C">
        <w:tblPrEx>
          <w:tblW w:w="9287" w:type="dxa"/>
          <w:tblLayout w:type="fixed"/>
          <w:tblCellMar>
            <w:left w:w="62" w:type="dxa"/>
            <w:right w:w="62" w:type="dxa"/>
          </w:tblCellMar>
          <w:tblLook w:val="0000"/>
        </w:tblPrEx>
        <w:trPr>
          <w:tblHeader/>
        </w:trPr>
        <w:tc>
          <w:tcPr>
            <w:tcW w:w="72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r w:rsidRPr="007F4ED2">
              <w:rPr>
                <w:rStyle w:val="SpecialBold"/>
              </w:rPr>
              <w:t>Welding</w:t>
            </w:r>
          </w:p>
        </w:tc>
        <w:tc>
          <w:tcPr>
            <w:tcW w:w="2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rPr>
                <w:rStyle w:val="SpecialBold"/>
              </w:rPr>
              <w:t>Prerequisites</w:t>
            </w:r>
          </w:p>
        </w:tc>
      </w:tr>
      <w:tr w:rsidTr="00617D0C">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AURV223608A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Carry out oxy acetylene welding, therma</w:t>
            </w:r>
            <w:r w:rsidRPr="007F4ED2">
              <w:t>l cutting and thermal heating procedures</w:t>
            </w:r>
          </w:p>
        </w:tc>
        <w:tc>
          <w:tcPr>
            <w:tcW w:w="2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AURV223808A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Carry out soft soldering techniques</w:t>
            </w:r>
          </w:p>
        </w:tc>
        <w:tc>
          <w:tcPr>
            <w:tcW w:w="2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AURV281108A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Carry out manual metal arc welding procedures</w:t>
            </w:r>
          </w:p>
        </w:tc>
        <w:tc>
          <w:tcPr>
            <w:tcW w:w="2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AURV281208A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Carry out brazing procedures</w:t>
            </w:r>
          </w:p>
        </w:tc>
        <w:tc>
          <w:tcPr>
            <w:tcW w:w="2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AURV281308A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Carry out gas metal arc (MIG) welding procedures</w:t>
            </w:r>
          </w:p>
        </w:tc>
        <w:tc>
          <w:tcPr>
            <w:tcW w:w="2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AURV281408A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Carry out gas tungsten arc (TIG) welding procedures</w:t>
            </w:r>
          </w:p>
        </w:tc>
        <w:tc>
          <w:tcPr>
            <w:tcW w:w="2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AURV281508A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Carry out spot welding procedures</w:t>
            </w:r>
          </w:p>
        </w:tc>
        <w:tc>
          <w:tcPr>
            <w:tcW w:w="2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AURV323908A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Carry out thermoplastic welding procedures</w:t>
            </w:r>
          </w:p>
        </w:tc>
        <w:tc>
          <w:tcPr>
            <w:tcW w:w="2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MEM05003B</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 xml:space="preserve">Perform soft soldering </w:t>
            </w:r>
          </w:p>
        </w:tc>
        <w:tc>
          <w:tcPr>
            <w:tcW w:w="2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MEM05004C</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Perform routine oxy acetylene welding</w:t>
            </w:r>
          </w:p>
        </w:tc>
        <w:tc>
          <w:tcPr>
            <w:tcW w:w="2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MEM05007C</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Perform manual heating and thermal cutting</w:t>
            </w:r>
          </w:p>
        </w:tc>
        <w:tc>
          <w:tcPr>
            <w:tcW w:w="2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MEM05017D</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Weld using gas metal arc welding process</w:t>
            </w:r>
          </w:p>
        </w:tc>
        <w:tc>
          <w:tcPr>
            <w:tcW w:w="2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MEM05050B MEM05051A MEM05052A MEM12023A MEM18001C MEM18002B MEM09002B</w:t>
            </w:r>
          </w:p>
        </w:tc>
      </w:tr>
      <w:tr w:rsidTr="00617D0C">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MEM05050B</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Perform routine gas metal arc</w:t>
            </w:r>
            <w:r w:rsidRPr="007F4ED2">
              <w:t xml:space="preserve"> welding</w:t>
            </w:r>
          </w:p>
        </w:tc>
        <w:tc>
          <w:tcPr>
            <w:tcW w:w="2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MEM05051A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Select welding processes</w:t>
            </w:r>
          </w:p>
        </w:tc>
        <w:tc>
          <w:tcPr>
            <w:tcW w:w="2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p>
        </w:tc>
      </w:tr>
      <w:tr w:rsidTr="00617D0C">
        <w:tblPrEx>
          <w:tblW w:w="9287" w:type="dxa"/>
          <w:tblLayout w:type="fixed"/>
          <w:tblCellMar>
            <w:left w:w="62" w:type="dxa"/>
            <w:right w:w="62" w:type="dxa"/>
          </w:tblCellMar>
          <w:tblLook w:val="0000"/>
        </w:tblPrEx>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MEM05052A</w:t>
            </w: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Apply safe welding practices</w:t>
            </w:r>
          </w:p>
        </w:tc>
        <w:tc>
          <w:tcPr>
            <w:tcW w:w="2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p>
        </w:tc>
      </w:tr>
    </w:tbl>
    <w:p w:rsidR="00000000" w:rsidRPr="007F4ED2" w:rsidP="007F4ED2">
      <w:pPr>
        <w:pStyle w:val="BodyText"/>
      </w:pPr>
    </w:p>
    <w:p w:rsidR="00000000" w:rsidRPr="007F4ED2" w:rsidP="007F4ED2">
      <w:pPr>
        <w:pStyle w:val="BodyText"/>
      </w:pPr>
      <w:r w:rsidRPr="007F4ED2">
        <w:rPr>
          <w:rStyle w:val="SpecialBold"/>
        </w:rPr>
        <w:t>Group B</w:t>
      </w:r>
      <w:r w:rsidRPr="007F4ED2">
        <w:t xml:space="preserve"> - </w:t>
      </w:r>
      <w:r w:rsidRPr="007F4ED2">
        <w:rPr>
          <w:rStyle w:val="SpecialBold"/>
        </w:rPr>
        <w:t>Other elective units</w:t>
      </w:r>
      <w:r w:rsidRPr="007F4ED2">
        <w:t xml:space="preserve"> </w:t>
      </w:r>
    </w:p>
    <w:p w:rsidR="00000000" w:rsidRPr="007F4ED2" w:rsidP="007F4ED2">
      <w:pPr>
        <w:pStyle w:val="ListBullet"/>
      </w:pPr>
      <w:r w:rsidRPr="007F4ED2">
        <w:t xml:space="preserve">The balance of units, to a maximum of </w:t>
      </w:r>
      <w:r w:rsidRPr="007F4ED2">
        <w:rPr>
          <w:rStyle w:val="SpecialBold"/>
        </w:rPr>
        <w:t>three</w:t>
      </w:r>
      <w:r w:rsidRPr="007F4ED2">
        <w:t xml:space="preserve"> (</w:t>
      </w:r>
      <w:r w:rsidRPr="007F4ED2">
        <w:rPr>
          <w:rStyle w:val="SpecialBold"/>
        </w:rPr>
        <w:t>3</w:t>
      </w:r>
      <w:r w:rsidRPr="007F4ED2">
        <w:t>), may be drawn from any combination of:</w:t>
      </w:r>
    </w:p>
    <w:p w:rsidR="00000000" w:rsidRPr="007F4ED2" w:rsidP="007F4ED2">
      <w:pPr>
        <w:pStyle w:val="ListBullet2"/>
      </w:pPr>
      <w:r w:rsidRPr="007F4ED2">
        <w:t>units not already chosen from Group A</w:t>
      </w:r>
    </w:p>
    <w:p w:rsidR="00000000" w:rsidRPr="007F4ED2" w:rsidP="007F4ED2">
      <w:pPr>
        <w:pStyle w:val="ListBullet2"/>
      </w:pPr>
      <w:r w:rsidRPr="007F4ED2">
        <w:t>relevant units available in this Training Package, other endorsed Training Packages and accredited courses, where those units are aligned to Certificate II and III qualifications.</w:t>
      </w:r>
    </w:p>
    <w:p w:rsidR="00000000" w:rsidRPr="007F4ED2" w:rsidP="007F4ED2">
      <w:pPr>
        <w:pStyle w:val="BodyText"/>
      </w:pPr>
    </w:p>
    <w:p w:rsidR="00000000" w:rsidRPr="007F4ED2" w:rsidP="007F4ED2">
      <w:pPr>
        <w:pStyle w:val="BodyText"/>
      </w:pPr>
      <w:r w:rsidRPr="007F4ED2">
        <w:rPr>
          <w:rStyle w:val="SpecialBold"/>
        </w:rPr>
        <w:t>Specialisation advice</w:t>
      </w:r>
    </w:p>
    <w:p w:rsidR="00000000" w:rsidRPr="007F4ED2" w:rsidP="007F4ED2">
      <w:pPr>
        <w:pStyle w:val="BodyText"/>
      </w:pPr>
      <w:r w:rsidRPr="007F4ED2">
        <w:t>Unit selection for a particular occupational stream must adhere to the packaging rules specified above. Examples of appropriate elective units for particular outcomes are provided below.</w:t>
      </w:r>
    </w:p>
    <w:p w:rsidR="00000000" w:rsidRPr="007F4ED2" w:rsidP="007F4ED2">
      <w:pPr>
        <w:pStyle w:val="BodyText"/>
      </w:pPr>
    </w:p>
    <w:p w:rsidR="00000000" w:rsidRPr="007F4ED2" w:rsidP="007F4ED2">
      <w:pPr>
        <w:pStyle w:val="BodyText"/>
      </w:pPr>
      <w:r w:rsidRPr="007F4ED2">
        <w:t>Note: A specialisation does not alter the title of the qualification</w:t>
      </w:r>
      <w:r w:rsidRPr="007F4ED2">
        <w:t xml:space="preserve"> although RTOs may choose to record the specialist occupational stream. Refer to </w:t>
      </w:r>
      <w:r w:rsidRPr="007F4ED2">
        <w:rPr>
          <w:rStyle w:val="BoldandItalics"/>
        </w:rPr>
        <w:t>Additional qualification advice</w:t>
      </w:r>
      <w:r w:rsidRPr="007F4ED2">
        <w:t>.</w:t>
      </w:r>
    </w:p>
    <w:p w:rsidR="00000000" w:rsidRPr="007F4ED2" w:rsidP="007F4ED2">
      <w:pPr>
        <w:pStyle w:val="BodyText"/>
      </w:pPr>
    </w:p>
    <w:p w:rsidR="00000000" w:rsidRPr="007F4ED2" w:rsidP="007F4ED2">
      <w:pPr>
        <w:pStyle w:val="BodyText"/>
      </w:pPr>
      <w:r w:rsidRPr="007F4ED2">
        <w:rPr>
          <w:rStyle w:val="SpecialBold"/>
        </w:rPr>
        <w:t>Motorcycle</w:t>
      </w:r>
    </w:p>
    <w:p w:rsidR="00000000" w:rsidRPr="007F4ED2" w:rsidP="007F4ED2">
      <w:pPr>
        <w:pStyle w:val="BodyText"/>
      </w:pPr>
      <w:r w:rsidRPr="007F4ED2">
        <w:t>The following unit is recommended for this specialisation.</w:t>
      </w:r>
    </w:p>
    <w:p w:rsidR="00000000" w:rsidRPr="007F4ED2" w:rsidP="007F4ED2">
      <w:pPr>
        <w:pStyle w:val="BodyText"/>
      </w:pPr>
    </w:p>
    <w:tbl>
      <w:tblPr>
        <w:tblW w:w="0" w:type="auto"/>
        <w:tblLayout w:type="fixed"/>
        <w:tblCellMar>
          <w:left w:w="62" w:type="dxa"/>
          <w:right w:w="62" w:type="dxa"/>
        </w:tblCellMar>
        <w:tblLook w:val="0000"/>
      </w:tblPr>
      <w:tblGrid>
        <w:gridCol w:w="2843"/>
        <w:gridCol w:w="5679"/>
      </w:tblGrid>
      <w:tr w:rsidTr="00617D0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AURT203170B</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r w:rsidRPr="007F4ED2">
              <w:t>Service petrol fuel systems</w:t>
            </w:r>
          </w:p>
        </w:tc>
      </w:tr>
    </w:tbl>
    <w:p w:rsidR="00000000" w:rsidRPr="007F4ED2" w:rsidP="007F4ED2">
      <w:pPr>
        <w:pStyle w:val="BodyText"/>
      </w:pPr>
    </w:p>
    <w:p w:rsidR="00000000" w:rsidRPr="007F4ED2" w:rsidP="007F4ED2">
      <w:pPr>
        <w:pStyle w:val="ListBullet"/>
      </w:pPr>
      <w:r w:rsidRPr="007F4ED2">
        <w:t>plus,</w:t>
      </w:r>
    </w:p>
    <w:p w:rsidR="00000000" w:rsidRPr="007F4ED2" w:rsidP="007F4ED2">
      <w:pPr>
        <w:pStyle w:val="ListBullet2"/>
      </w:pPr>
      <w:r w:rsidRPr="007F4ED2">
        <w:t xml:space="preserve">a minimum of two (2) units from the General Mechanical group </w:t>
      </w:r>
    </w:p>
    <w:p w:rsidR="00000000" w:rsidRPr="007F4ED2" w:rsidP="007F4ED2">
      <w:pPr>
        <w:pStyle w:val="ListBullet2"/>
      </w:pPr>
      <w:r w:rsidRPr="007F4ED2">
        <w:t>a minimum of two (2) units from the Engines, Systems and Transmissions group</w:t>
      </w:r>
    </w:p>
    <w:p w:rsidR="00000000" w:rsidRPr="007F4ED2" w:rsidP="007F4ED2">
      <w:pPr>
        <w:pStyle w:val="ListBullet2"/>
      </w:pPr>
      <w:r w:rsidRPr="007F4ED2">
        <w:t>a minimum of two (2) units from the Brakes and/or Steering and Suspension group</w:t>
      </w:r>
    </w:p>
    <w:p w:rsidR="00000000" w:rsidRPr="007F4ED2" w:rsidP="007F4ED2">
      <w:pPr>
        <w:pStyle w:val="ListBullet2"/>
      </w:pPr>
      <w:r w:rsidRPr="007F4ED2">
        <w:t>a minimum of two (2) units from the E</w:t>
      </w:r>
      <w:r w:rsidRPr="007F4ED2">
        <w:t>lectrical and Electronics group.</w:t>
      </w:r>
    </w:p>
    <w:p w:rsidR="00000000" w:rsidRPr="007F4ED2" w:rsidP="007F4ED2">
      <w:pPr>
        <w:pStyle w:val="BodyText"/>
      </w:pPr>
    </w:p>
    <w:p w:rsidR="00000000" w:rsidRPr="007F4ED2" w:rsidP="007F4ED2">
      <w:pPr>
        <w:pStyle w:val="BodyText"/>
      </w:pPr>
      <w:r w:rsidRPr="007F4ED2">
        <w:rPr>
          <w:rStyle w:val="SpecialBold"/>
        </w:rPr>
        <w:t>Light vehicle</w:t>
      </w:r>
    </w:p>
    <w:p w:rsidR="00000000" w:rsidRPr="007F4ED2" w:rsidP="007F4ED2">
      <w:pPr>
        <w:pStyle w:val="BodyText"/>
      </w:pPr>
      <w:r w:rsidRPr="007F4ED2">
        <w:t>The following ten (10) units are recommended for this specialisation.</w:t>
      </w:r>
    </w:p>
    <w:p w:rsidR="00000000" w:rsidRPr="007F4ED2" w:rsidP="007F4ED2">
      <w:pPr>
        <w:pStyle w:val="BodyText"/>
      </w:pPr>
    </w:p>
    <w:tbl>
      <w:tblPr>
        <w:tblW w:w="0" w:type="auto"/>
        <w:tblLayout w:type="fixed"/>
        <w:tblCellMar>
          <w:left w:w="62" w:type="dxa"/>
          <w:right w:w="62" w:type="dxa"/>
        </w:tblCellMar>
        <w:tblLook w:val="0000"/>
      </w:tblPr>
      <w:tblGrid>
        <w:gridCol w:w="2843"/>
        <w:gridCol w:w="5679"/>
      </w:tblGrid>
      <w:tr w:rsidTr="00617D0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AURT201170A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and service engines</w:t>
            </w:r>
          </w:p>
        </w:tc>
      </w:tr>
      <w:tr w:rsidTr="00617D0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AURT202170B</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and service cooling systems</w:t>
            </w:r>
          </w:p>
        </w:tc>
      </w:tr>
      <w:tr w:rsidTr="00617D0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AURT203170B</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 xml:space="preserve">Service petrol fuel systems </w:t>
            </w:r>
          </w:p>
        </w:tc>
      </w:tr>
      <w:tr w:rsidTr="00617D0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AURT206670A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and service transmissions (manual)</w:t>
            </w:r>
          </w:p>
        </w:tc>
      </w:tr>
      <w:tr w:rsidTr="00617D0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AURT207170A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and service transmissions (automatic)</w:t>
            </w:r>
          </w:p>
        </w:tc>
      </w:tr>
      <w:tr w:rsidTr="00617D0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AURT210170A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and service braking systems</w:t>
            </w:r>
          </w:p>
        </w:tc>
      </w:tr>
      <w:tr w:rsidTr="00617D0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AURT212670A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final drive assemblies</w:t>
            </w:r>
          </w:p>
        </w:tc>
      </w:tr>
      <w:tr w:rsidTr="00617D0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AURT213170A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 xml:space="preserve">Service final drive (driveline) </w:t>
            </w:r>
          </w:p>
        </w:tc>
      </w:tr>
      <w:tr w:rsidTr="00617D0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w:t>
            </w:r>
            <w:r w:rsidRPr="007F4ED2">
              <w:t>RT215170A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and service steering systems</w:t>
            </w:r>
          </w:p>
        </w:tc>
      </w:tr>
      <w:tr w:rsidTr="00617D0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AURT216170A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r w:rsidRPr="007F4ED2">
              <w:t xml:space="preserve">Inspect and service suspension systems </w:t>
            </w:r>
          </w:p>
        </w:tc>
      </w:tr>
    </w:tbl>
    <w:p w:rsidR="00000000" w:rsidRPr="007F4ED2" w:rsidP="007F4ED2">
      <w:pPr>
        <w:pStyle w:val="BodyText"/>
      </w:pPr>
    </w:p>
    <w:p w:rsidR="00000000" w:rsidRPr="007F4ED2" w:rsidP="007F4ED2">
      <w:pPr>
        <w:pStyle w:val="BodyText"/>
      </w:pPr>
      <w:r w:rsidRPr="007F4ED2">
        <w:rPr>
          <w:rStyle w:val="SpecialBold"/>
        </w:rPr>
        <w:t>Heavy vehicle</w:t>
      </w:r>
    </w:p>
    <w:p w:rsidR="00000000" w:rsidRPr="007F4ED2" w:rsidP="007F4ED2">
      <w:pPr>
        <w:pStyle w:val="BodyText"/>
      </w:pPr>
      <w:r w:rsidRPr="007F4ED2">
        <w:t>The following six (6) units are recommended for this specialisation.</w:t>
      </w:r>
    </w:p>
    <w:p w:rsidR="00000000" w:rsidRPr="007F4ED2" w:rsidP="007F4ED2">
      <w:pPr>
        <w:pStyle w:val="BodyText"/>
      </w:pPr>
    </w:p>
    <w:tbl>
      <w:tblPr>
        <w:tblW w:w="0" w:type="auto"/>
        <w:tblLayout w:type="fixed"/>
        <w:tblCellMar>
          <w:left w:w="62" w:type="dxa"/>
          <w:right w:w="62" w:type="dxa"/>
        </w:tblCellMar>
        <w:tblLook w:val="0000"/>
      </w:tblPr>
      <w:tblGrid>
        <w:gridCol w:w="2843"/>
        <w:gridCol w:w="5679"/>
      </w:tblGrid>
      <w:tr w:rsidTr="00617D0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AURT201170A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and service engines</w:t>
            </w:r>
          </w:p>
        </w:tc>
      </w:tr>
      <w:tr w:rsidTr="00617D0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AURT202170B</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and service cooling systems</w:t>
            </w:r>
          </w:p>
        </w:tc>
      </w:tr>
      <w:tr w:rsidTr="00617D0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AURT203670B</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diesel fuel injection systems</w:t>
            </w:r>
          </w:p>
        </w:tc>
      </w:tr>
      <w:tr w:rsidTr="00617D0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AURT210170A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and service braking systems</w:t>
            </w:r>
          </w:p>
        </w:tc>
      </w:tr>
      <w:tr w:rsidTr="00617D0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AURT212670A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Service final drive assemblies</w:t>
            </w:r>
          </w:p>
        </w:tc>
      </w:tr>
      <w:tr w:rsidTr="00617D0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AURT215170A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r w:rsidRPr="007F4ED2">
              <w:t>Inspect and service steering systems</w:t>
            </w:r>
          </w:p>
        </w:tc>
      </w:tr>
    </w:tbl>
    <w:p w:rsidR="00000000" w:rsidRPr="007F4ED2" w:rsidP="007F4ED2">
      <w:pPr>
        <w:pStyle w:val="BodyText"/>
      </w:pPr>
    </w:p>
    <w:p w:rsidR="00000000" w:rsidRPr="007F4ED2" w:rsidP="007F4ED2">
      <w:pPr>
        <w:pStyle w:val="ListBullet"/>
      </w:pPr>
      <w:r w:rsidRPr="007F4ED2">
        <w:t>plus, a minimum of one (1) of the following:</w:t>
      </w:r>
    </w:p>
    <w:p w:rsidR="00000000" w:rsidRPr="007F4ED2" w:rsidP="007F4ED2">
      <w:pPr>
        <w:pStyle w:val="BodyText"/>
      </w:pPr>
    </w:p>
    <w:tbl>
      <w:tblPr>
        <w:tblW w:w="0" w:type="auto"/>
        <w:tblLayout w:type="fixed"/>
        <w:tblCellMar>
          <w:left w:w="62" w:type="dxa"/>
          <w:right w:w="62" w:type="dxa"/>
        </w:tblCellMar>
        <w:tblLook w:val="0000"/>
      </w:tblPr>
      <w:tblGrid>
        <w:gridCol w:w="2843"/>
        <w:gridCol w:w="5679"/>
      </w:tblGrid>
      <w:tr w:rsidTr="00617D0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AURT206670A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Inspect and service transmissions (manual)</w:t>
            </w:r>
          </w:p>
        </w:tc>
      </w:tr>
      <w:tr w:rsidTr="00617D0C">
        <w:tblPrEx>
          <w:tblW w:w="0" w:type="auto"/>
          <w:tblLayout w:type="fixed"/>
          <w:tblCellMar>
            <w:left w:w="62" w:type="dxa"/>
            <w:right w:w="62" w:type="dxa"/>
          </w:tblCellMar>
          <w:tblLook w:val="0000"/>
        </w:tblPrEx>
        <w:tc>
          <w:tcPr>
            <w:tcW w:w="28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4ED2">
            <w:pPr>
              <w:pStyle w:val="BodyText"/>
              <w:rPr>
                <w:lang w:val="en-NZ"/>
              </w:rPr>
            </w:pPr>
            <w:r w:rsidRPr="007F4ED2">
              <w:t>AURT207170A</w:t>
            </w:r>
          </w:p>
        </w:tc>
        <w:tc>
          <w:tcPr>
            <w:tcW w:w="56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4ED2" w:rsidP="007F4ED2">
            <w:pPr>
              <w:pStyle w:val="BodyText"/>
            </w:pPr>
            <w:r w:rsidRPr="007F4ED2">
              <w:t>Inspect and service transmissions (automatic)</w:t>
            </w:r>
          </w:p>
        </w:tc>
      </w:tr>
    </w:tbl>
    <w:p w:rsidR="00000000" w:rsidRPr="007F4ED2" w:rsidP="007F4ED2">
      <w:pPr>
        <w:pStyle w:val="BodyText"/>
      </w:pPr>
    </w:p>
    <w:p w:rsidR="00000000" w:rsidRPr="007F4ED2" w:rsidP="007F4ED2"/>
    <w:sectPr w:rsidSect="007F4E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E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7D0C" w:rsidP="00617D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E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D0C" w:rsidP="007F4E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617D0C" w:rsidP="007F4E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617D0C" w:rsidP="007F4E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E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7D0C" w:rsidP="00617D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E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D0C" w:rsidP="007F4ED2">
    <w:pPr>
      <w:pStyle w:val="Header"/>
      <w:framePr w:wrap="around"/>
    </w:pPr>
    <w:r>
      <w:fldChar w:fldCharType="begin"/>
    </w:r>
    <w:r>
      <w:instrText xml:space="preserve"> TITLE   \* MERGEFORMAT </w:instrText>
    </w:r>
    <w:r>
      <w:fldChar w:fldCharType="separate"/>
    </w:r>
    <w:r>
      <w:t>AUR20505 Certificate II in Automotive Vehicle Servicing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17D0C" w:rsidP="007F4ED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C88A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EA5B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BC06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ED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4ED2"/>
    <w:pPr>
      <w:spacing w:before="360" w:after="60"/>
      <w:outlineLvl w:val="0"/>
    </w:pPr>
    <w:rPr>
      <w:sz w:val="32"/>
    </w:rPr>
  </w:style>
  <w:style w:type="paragraph" w:styleId="Heading2">
    <w:name w:val="heading 2"/>
    <w:basedOn w:val="HeadingBase"/>
    <w:next w:val="BodyText"/>
    <w:link w:val="Heading2Char"/>
    <w:qFormat/>
    <w:rsid w:val="007F4ED2"/>
    <w:pPr>
      <w:keepLines/>
      <w:spacing w:before="240" w:after="120"/>
      <w:outlineLvl w:val="1"/>
    </w:pPr>
    <w:rPr>
      <w:sz w:val="28"/>
      <w:szCs w:val="40"/>
    </w:rPr>
  </w:style>
  <w:style w:type="paragraph" w:styleId="Heading3">
    <w:name w:val="heading 3"/>
    <w:basedOn w:val="HeadingBase"/>
    <w:next w:val="BodyText"/>
    <w:link w:val="Heading3Char"/>
    <w:qFormat/>
    <w:rsid w:val="007F4ED2"/>
    <w:pPr>
      <w:spacing w:before="180" w:after="120"/>
      <w:outlineLvl w:val="2"/>
    </w:pPr>
    <w:rPr>
      <w:spacing w:val="-10"/>
      <w:kern w:val="32"/>
    </w:rPr>
  </w:style>
  <w:style w:type="paragraph" w:styleId="Heading4">
    <w:name w:val="heading 4"/>
    <w:basedOn w:val="HeadingBase"/>
    <w:next w:val="BodyText"/>
    <w:link w:val="Heading4Char"/>
    <w:qFormat/>
    <w:rsid w:val="007F4ED2"/>
    <w:pPr>
      <w:spacing w:before="160" w:after="120"/>
      <w:outlineLvl w:val="3"/>
    </w:pPr>
    <w:rPr>
      <w:sz w:val="22"/>
    </w:rPr>
  </w:style>
  <w:style w:type="paragraph" w:styleId="Heading5">
    <w:name w:val="heading 5"/>
    <w:basedOn w:val="HeadingBase"/>
    <w:next w:val="Normal"/>
    <w:link w:val="Heading5Char"/>
    <w:qFormat/>
    <w:rsid w:val="007F4ED2"/>
    <w:pPr>
      <w:spacing w:before="80"/>
      <w:outlineLvl w:val="4"/>
    </w:pPr>
    <w:rPr>
      <w:color w:val="918585"/>
      <w:sz w:val="20"/>
    </w:rPr>
  </w:style>
  <w:style w:type="paragraph" w:styleId="Heading6">
    <w:name w:val="heading 6"/>
    <w:basedOn w:val="HeadingBase"/>
    <w:next w:val="Normal"/>
    <w:link w:val="Heading6Char"/>
    <w:qFormat/>
    <w:rsid w:val="007F4ED2"/>
    <w:pPr>
      <w:spacing w:before="60"/>
      <w:outlineLvl w:val="5"/>
    </w:pPr>
    <w:rPr>
      <w:color w:val="918585"/>
      <w:sz w:val="20"/>
    </w:rPr>
  </w:style>
  <w:style w:type="paragraph" w:styleId="Heading7">
    <w:name w:val="heading 7"/>
    <w:basedOn w:val="Normal"/>
    <w:next w:val="Normal"/>
    <w:link w:val="Heading7Char"/>
    <w:qFormat/>
    <w:rsid w:val="007F4ED2"/>
    <w:pPr>
      <w:ind w:left="720"/>
      <w:outlineLvl w:val="6"/>
    </w:pPr>
    <w:rPr>
      <w:i/>
    </w:rPr>
  </w:style>
  <w:style w:type="paragraph" w:styleId="Heading8">
    <w:name w:val="heading 8"/>
    <w:basedOn w:val="Normal"/>
    <w:next w:val="Normal"/>
    <w:link w:val="Heading8Char"/>
    <w:qFormat/>
    <w:rsid w:val="007F4ED2"/>
    <w:pPr>
      <w:ind w:left="720"/>
      <w:outlineLvl w:val="7"/>
    </w:pPr>
    <w:rPr>
      <w:i/>
    </w:rPr>
  </w:style>
  <w:style w:type="paragraph" w:styleId="Heading9">
    <w:name w:val="heading 9"/>
    <w:basedOn w:val="Normal"/>
    <w:next w:val="Normal"/>
    <w:link w:val="Heading9Char"/>
    <w:qFormat/>
    <w:rsid w:val="007F4ED2"/>
    <w:pPr>
      <w:ind w:left="720"/>
      <w:outlineLvl w:val="8"/>
    </w:pPr>
    <w:rPr>
      <w:i/>
    </w:rPr>
  </w:style>
  <w:style w:type="character" w:default="1" w:styleId="DefaultParagraphFont">
    <w:name w:val="Default Paragraph Font"/>
    <w:uiPriority w:val="1"/>
    <w:unhideWhenUsed/>
    <w:rsid w:val="007F4E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ED2"/>
  </w:style>
  <w:style w:type="character" w:customStyle="1" w:styleId="Heading1Char">
    <w:name w:val="Heading 1 Char"/>
    <w:basedOn w:val="DefaultParagraphFont"/>
    <w:link w:val="Heading1"/>
    <w:rsid w:val="007F4ED2"/>
    <w:rPr>
      <w:rFonts w:ascii="Times New Roman" w:eastAsia="Times New Roman" w:hAnsi="Times New Roman" w:cs="Times New Roman"/>
      <w:b/>
      <w:sz w:val="32"/>
      <w:szCs w:val="20"/>
      <w:lang w:eastAsia="en-US"/>
    </w:rPr>
  </w:style>
  <w:style w:type="paragraph" w:styleId="BodyText">
    <w:name w:val="Body Text"/>
    <w:basedOn w:val="Normal"/>
    <w:link w:val="BodyTextChar"/>
    <w:rsid w:val="007F4E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4ED2"/>
    <w:rPr>
      <w:rFonts w:ascii="Times New Roman" w:eastAsia="Times New Roman" w:hAnsi="Times New Roman" w:cs="Times New Roman"/>
      <w:sz w:val="24"/>
      <w:lang w:val="en-US" w:eastAsia="en-US"/>
    </w:rPr>
  </w:style>
  <w:style w:type="paragraph" w:styleId="Footer">
    <w:name w:val="footer"/>
    <w:basedOn w:val="Normal"/>
    <w:link w:val="FooterChar"/>
    <w:rsid w:val="007F4E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ED2"/>
    <w:rPr>
      <w:rFonts w:ascii="Times New Roman" w:eastAsia="Times New Roman" w:hAnsi="Times New Roman" w:cs="Times New Roman"/>
      <w:sz w:val="16"/>
      <w:lang w:val="en-US" w:eastAsia="en-US"/>
    </w:rPr>
  </w:style>
  <w:style w:type="paragraph" w:styleId="ListBullet">
    <w:name w:val="List Bullet"/>
    <w:basedOn w:val="List"/>
    <w:rsid w:val="007F4ED2"/>
    <w:pPr>
      <w:numPr>
        <w:numId w:val="14"/>
      </w:numPr>
      <w:tabs>
        <w:tab w:val="clear" w:pos="340"/>
      </w:tabs>
      <w:spacing w:before="40" w:after="40"/>
    </w:pPr>
  </w:style>
  <w:style w:type="character" w:customStyle="1" w:styleId="SpecialBold">
    <w:name w:val="Special Bold"/>
    <w:basedOn w:val="DefaultParagraphFont"/>
    <w:rsid w:val="007F4ED2"/>
    <w:rPr>
      <w:b/>
      <w:spacing w:val="0"/>
    </w:rPr>
  </w:style>
  <w:style w:type="paragraph" w:styleId="ListBullet2">
    <w:name w:val="List Bullet 2"/>
    <w:basedOn w:val="List2"/>
    <w:rsid w:val="007F4ED2"/>
    <w:pPr>
      <w:numPr>
        <w:numId w:val="15"/>
      </w:numPr>
      <w:tabs>
        <w:tab w:val="clear" w:pos="680"/>
      </w:tabs>
    </w:pPr>
  </w:style>
  <w:style w:type="paragraph" w:styleId="Header">
    <w:name w:val="header"/>
    <w:basedOn w:val="Normal"/>
    <w:link w:val="HeaderChar"/>
    <w:rsid w:val="007F4E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ED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F4ED2"/>
    <w:pPr>
      <w:spacing w:before="240" w:after="120"/>
      <w:outlineLvl w:val="0"/>
    </w:pPr>
    <w:rPr>
      <w:rFonts w:ascii="Times New Roman" w:hAnsi="Times New Roman"/>
      <w:b/>
      <w:sz w:val="28"/>
    </w:rPr>
  </w:style>
  <w:style w:type="paragraph" w:customStyle="1" w:styleId="AllowPageBreak">
    <w:name w:val="AllowPageBreak"/>
    <w:rsid w:val="007F4ED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4ED2"/>
    <w:pPr>
      <w:numPr>
        <w:numId w:val="3"/>
      </w:numPr>
      <w:tabs>
        <w:tab w:val="clear" w:pos="1021"/>
      </w:tabs>
      <w:ind w:left="1037" w:hanging="357"/>
    </w:pPr>
  </w:style>
  <w:style w:type="character" w:customStyle="1" w:styleId="BoldandItalics">
    <w:name w:val="Bold and Italics"/>
    <w:qFormat/>
    <w:rsid w:val="007F4ED2"/>
    <w:rPr>
      <w:b/>
      <w:i/>
      <w:u w:val="none"/>
    </w:rPr>
  </w:style>
  <w:style w:type="character" w:customStyle="1" w:styleId="Heading2Char">
    <w:name w:val="Heading 2 Char"/>
    <w:basedOn w:val="DefaultParagraphFont"/>
    <w:link w:val="Heading2"/>
    <w:rsid w:val="007F4E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E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E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E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E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ED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4ED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4ED2"/>
    <w:rPr>
      <w:rFonts w:ascii="Courier New" w:eastAsia="Times New Roman" w:hAnsi="Courier New" w:cs="Times New Roman"/>
      <w:i/>
      <w:szCs w:val="20"/>
      <w:lang w:val="en-US" w:eastAsia="en-US"/>
    </w:rPr>
  </w:style>
  <w:style w:type="paragraph" w:customStyle="1" w:styleId="HeadingBase">
    <w:name w:val="Heading Base"/>
    <w:rsid w:val="007F4E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ED2"/>
    <w:pPr>
      <w:tabs>
        <w:tab w:val="right" w:leader="dot" w:pos="9072"/>
      </w:tabs>
      <w:ind w:left="567"/>
    </w:pPr>
    <w:rPr>
      <w:szCs w:val="22"/>
    </w:rPr>
  </w:style>
  <w:style w:type="paragraph" w:customStyle="1" w:styleId="TOCBase">
    <w:name w:val="TOC Base"/>
    <w:rsid w:val="007F4E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ED2"/>
    <w:pPr>
      <w:tabs>
        <w:tab w:val="right" w:leader="dot" w:pos="9072"/>
      </w:tabs>
      <w:spacing w:before="40" w:after="40"/>
      <w:ind w:left="284"/>
    </w:pPr>
    <w:rPr>
      <w:rFonts w:ascii="Times New Roman" w:hAnsi="Times New Roman"/>
    </w:rPr>
  </w:style>
  <w:style w:type="paragraph" w:styleId="TOC1">
    <w:name w:val="toc 1"/>
    <w:basedOn w:val="TOCBase"/>
    <w:next w:val="Normal"/>
    <w:rsid w:val="007F4E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4ED2"/>
    <w:pPr>
      <w:spacing w:before="5040"/>
      <w:jc w:val="center"/>
    </w:pPr>
    <w:rPr>
      <w:sz w:val="48"/>
      <w:szCs w:val="72"/>
      <w:lang w:val="en-US"/>
    </w:rPr>
  </w:style>
  <w:style w:type="character" w:customStyle="1" w:styleId="TitleChar">
    <w:name w:val="Title Char"/>
    <w:basedOn w:val="DefaultParagraphFont"/>
    <w:link w:val="Title"/>
    <w:rsid w:val="007F4E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ED2"/>
    <w:pPr>
      <w:tabs>
        <w:tab w:val="left" w:pos="3600"/>
        <w:tab w:val="left" w:pos="3958"/>
      </w:tabs>
    </w:pPr>
  </w:style>
  <w:style w:type="paragraph" w:styleId="List">
    <w:name w:val="List"/>
    <w:basedOn w:val="BodyText"/>
    <w:next w:val="BodyText"/>
    <w:rsid w:val="007F4ED2"/>
    <w:pPr>
      <w:tabs>
        <w:tab w:val="left" w:pos="340"/>
      </w:tabs>
      <w:spacing w:before="60" w:after="60"/>
      <w:ind w:left="340" w:hanging="340"/>
    </w:pPr>
  </w:style>
  <w:style w:type="paragraph" w:customStyle="1" w:styleId="Note">
    <w:name w:val="Note"/>
    <w:basedOn w:val="BodyText"/>
    <w:rsid w:val="007F4E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ED2"/>
    <w:pPr>
      <w:framePr w:wrap="auto" w:hAnchor="text" w:y="6049"/>
    </w:pPr>
    <w:rPr>
      <w:color w:val="000000"/>
      <w:sz w:val="40"/>
    </w:rPr>
  </w:style>
  <w:style w:type="paragraph" w:customStyle="1" w:styleId="TOCTitle">
    <w:name w:val="TOCTitle"/>
    <w:basedOn w:val="Heading1"/>
    <w:rsid w:val="007F4ED2"/>
    <w:pPr>
      <w:spacing w:after="240"/>
      <w:jc w:val="center"/>
      <w:outlineLvl w:val="9"/>
    </w:pPr>
    <w:rPr>
      <w:caps/>
    </w:rPr>
  </w:style>
  <w:style w:type="paragraph" w:customStyle="1" w:styleId="Version">
    <w:name w:val="Version"/>
    <w:rsid w:val="007F4E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4ED2"/>
    <w:pPr>
      <w:keepNext w:val="0"/>
      <w:tabs>
        <w:tab w:val="right" w:pos="4176"/>
      </w:tabs>
      <w:ind w:left="198" w:hanging="198"/>
    </w:pPr>
    <w:rPr>
      <w:rFonts w:ascii="Garamond" w:hAnsi="Garamond"/>
    </w:rPr>
  </w:style>
  <w:style w:type="paragraph" w:styleId="IndexHeading">
    <w:name w:val="index heading"/>
    <w:basedOn w:val="Normal"/>
    <w:next w:val="Index1"/>
    <w:semiHidden/>
    <w:rsid w:val="007F4ED2"/>
    <w:pPr>
      <w:spacing w:before="120" w:after="120"/>
    </w:pPr>
    <w:rPr>
      <w:rFonts w:ascii="Arial" w:hAnsi="Arial"/>
      <w:b/>
      <w:color w:val="918585"/>
      <w:sz w:val="24"/>
    </w:rPr>
  </w:style>
  <w:style w:type="paragraph" w:customStyle="1" w:styleId="Chapter">
    <w:name w:val="Chapter"/>
    <w:basedOn w:val="Normal"/>
    <w:rsid w:val="007F4ED2"/>
    <w:pPr>
      <w:spacing w:before="240"/>
    </w:pPr>
    <w:rPr>
      <w:rFonts w:ascii="Times New Roman" w:hAnsi="Times New Roman"/>
      <w:smallCaps/>
      <w:spacing w:val="80"/>
      <w:sz w:val="28"/>
    </w:rPr>
  </w:style>
  <w:style w:type="paragraph" w:customStyle="1" w:styleId="InChapter">
    <w:name w:val="InChapter"/>
    <w:basedOn w:val="Heading3"/>
    <w:rsid w:val="007F4ED2"/>
    <w:pPr>
      <w:spacing w:after="240"/>
      <w:outlineLvl w:val="9"/>
    </w:pPr>
    <w:rPr>
      <w:noProof/>
    </w:rPr>
  </w:style>
  <w:style w:type="paragraph" w:styleId="Index2">
    <w:name w:val="index 2"/>
    <w:basedOn w:val="Normal"/>
    <w:next w:val="Normal"/>
    <w:semiHidden/>
    <w:rsid w:val="007F4ED2"/>
    <w:pPr>
      <w:tabs>
        <w:tab w:val="right" w:pos="4176"/>
      </w:tabs>
      <w:ind w:left="568" w:hanging="284"/>
    </w:pPr>
    <w:rPr>
      <w:rFonts w:ascii="Garamond" w:hAnsi="Garamond"/>
    </w:rPr>
  </w:style>
  <w:style w:type="paragraph" w:customStyle="1" w:styleId="Byline">
    <w:name w:val="Byline"/>
    <w:rsid w:val="007F4E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ED2"/>
    <w:pPr>
      <w:tabs>
        <w:tab w:val="clear" w:pos="3600"/>
        <w:tab w:val="clear" w:pos="3958"/>
      </w:tabs>
      <w:jc w:val="right"/>
    </w:pPr>
  </w:style>
  <w:style w:type="character" w:styleId="Emphasis">
    <w:name w:val="Emphasis"/>
    <w:basedOn w:val="DefaultParagraphFont"/>
    <w:qFormat/>
    <w:rsid w:val="007F4ED2"/>
    <w:rPr>
      <w:i/>
    </w:rPr>
  </w:style>
  <w:style w:type="paragraph" w:styleId="Caption">
    <w:name w:val="caption"/>
    <w:basedOn w:val="BodyText"/>
    <w:next w:val="Normal"/>
    <w:qFormat/>
    <w:rsid w:val="007F4ED2"/>
    <w:pPr>
      <w:framePr w:w="2268" w:hSpace="181" w:vSpace="181" w:wrap="around" w:vAnchor="text" w:hAnchor="page" w:x="1135" w:y="285" w:anchorLock="1"/>
    </w:pPr>
    <w:rPr>
      <w:i/>
    </w:rPr>
  </w:style>
  <w:style w:type="paragraph" w:customStyle="1" w:styleId="MiniTOCTitle">
    <w:name w:val="MiniTOCTitle"/>
    <w:basedOn w:val="Heading4"/>
    <w:rsid w:val="007F4ED2"/>
    <w:pPr>
      <w:spacing w:before="240"/>
      <w:outlineLvl w:val="9"/>
    </w:pPr>
    <w:rPr>
      <w:noProof/>
      <w:sz w:val="24"/>
    </w:rPr>
  </w:style>
  <w:style w:type="paragraph" w:customStyle="1" w:styleId="MiniTOCItem">
    <w:name w:val="MiniTOCItem"/>
    <w:basedOn w:val="ListBullet"/>
    <w:rsid w:val="007F4ED2"/>
    <w:pPr>
      <w:numPr>
        <w:numId w:val="0"/>
      </w:numPr>
      <w:tabs>
        <w:tab w:val="right" w:leader="dot" w:pos="6521"/>
      </w:tabs>
      <w:spacing w:before="0" w:after="0"/>
    </w:pPr>
  </w:style>
  <w:style w:type="paragraph" w:customStyle="1" w:styleId="TOFTitle">
    <w:name w:val="TOFTitle"/>
    <w:basedOn w:val="TOCTitle"/>
    <w:rsid w:val="007F4ED2"/>
  </w:style>
  <w:style w:type="paragraph" w:styleId="TableofFigures">
    <w:name w:val="table of figures"/>
    <w:basedOn w:val="Normal"/>
    <w:next w:val="Normal"/>
    <w:semiHidden/>
    <w:rsid w:val="007F4ED2"/>
    <w:pPr>
      <w:tabs>
        <w:tab w:val="right" w:leader="dot" w:pos="9072"/>
      </w:tabs>
      <w:ind w:left="970" w:hanging="403"/>
    </w:pPr>
    <w:rPr>
      <w:rFonts w:ascii="Times New Roman" w:hAnsi="Times New Roman"/>
      <w:b/>
    </w:rPr>
  </w:style>
  <w:style w:type="paragraph" w:styleId="ListNumber">
    <w:name w:val="List Number"/>
    <w:basedOn w:val="List"/>
    <w:rsid w:val="007F4ED2"/>
    <w:pPr>
      <w:numPr>
        <w:numId w:val="12"/>
      </w:numPr>
    </w:pPr>
  </w:style>
  <w:style w:type="character" w:customStyle="1" w:styleId="WingdingSymbols">
    <w:name w:val="Wingding Symbols"/>
    <w:rsid w:val="007F4ED2"/>
    <w:rPr>
      <w:rFonts w:ascii="Wingdings" w:hAnsi="Wingdings"/>
    </w:rPr>
  </w:style>
  <w:style w:type="paragraph" w:customStyle="1" w:styleId="TableHeading">
    <w:name w:val="Table Heading"/>
    <w:basedOn w:val="HeadingBase"/>
    <w:rsid w:val="007F4ED2"/>
    <w:pPr>
      <w:keepLines/>
      <w:pBdr>
        <w:bottom w:val="single" w:sz="6" w:space="1" w:color="918585"/>
      </w:pBdr>
      <w:spacing w:before="240"/>
    </w:pPr>
  </w:style>
  <w:style w:type="character" w:customStyle="1" w:styleId="HotSpot">
    <w:name w:val="HotSpot"/>
    <w:rsid w:val="007F4ED2"/>
    <w:rPr>
      <w:color w:val="0033CC"/>
      <w:u w:val="none"/>
    </w:rPr>
  </w:style>
  <w:style w:type="paragraph" w:customStyle="1" w:styleId="BodyTextRight">
    <w:name w:val="Body Text Right"/>
    <w:basedOn w:val="BodyText"/>
    <w:rsid w:val="007F4ED2"/>
    <w:pPr>
      <w:spacing w:before="0" w:after="0"/>
      <w:jc w:val="right"/>
    </w:pPr>
  </w:style>
  <w:style w:type="paragraph" w:styleId="Index3">
    <w:name w:val="index 3"/>
    <w:basedOn w:val="ListNumber2"/>
    <w:next w:val="Normal"/>
    <w:semiHidden/>
    <w:rsid w:val="007F4ED2"/>
    <w:pPr>
      <w:numPr>
        <w:numId w:val="0"/>
      </w:numPr>
      <w:tabs>
        <w:tab w:val="right" w:leader="dot" w:pos="4176"/>
      </w:tabs>
    </w:pPr>
  </w:style>
  <w:style w:type="paragraph" w:styleId="ListNumber2">
    <w:name w:val="List Number 2"/>
    <w:basedOn w:val="List2"/>
    <w:rsid w:val="007F4ED2"/>
    <w:pPr>
      <w:numPr>
        <w:numId w:val="11"/>
      </w:numPr>
      <w:tabs>
        <w:tab w:val="clear" w:pos="1060"/>
      </w:tabs>
    </w:pPr>
  </w:style>
  <w:style w:type="paragraph" w:customStyle="1" w:styleId="MarginNote">
    <w:name w:val="Margin Note"/>
    <w:basedOn w:val="BodyText"/>
    <w:rsid w:val="007F4E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E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ED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4ED2"/>
    <w:rPr>
      <w:sz w:val="32"/>
    </w:rPr>
  </w:style>
  <w:style w:type="paragraph" w:customStyle="1" w:styleId="HeadingProcedure">
    <w:name w:val="Heading Procedure"/>
    <w:basedOn w:val="HeadingBase"/>
    <w:next w:val="Normal"/>
    <w:rsid w:val="007F4ED2"/>
    <w:pPr>
      <w:tabs>
        <w:tab w:val="left" w:pos="0"/>
      </w:tabs>
      <w:spacing w:before="120" w:after="60"/>
    </w:pPr>
    <w:rPr>
      <w:i/>
      <w:color w:val="918585"/>
      <w:sz w:val="22"/>
    </w:rPr>
  </w:style>
  <w:style w:type="paragraph" w:customStyle="1" w:styleId="TableBodyText">
    <w:name w:val="Table Body Text"/>
    <w:basedOn w:val="BodyText"/>
    <w:rsid w:val="007F4ED2"/>
    <w:pPr>
      <w:spacing w:before="60" w:after="60"/>
    </w:pPr>
  </w:style>
  <w:style w:type="paragraph" w:styleId="ListContinue">
    <w:name w:val="List Continue"/>
    <w:basedOn w:val="List"/>
    <w:rsid w:val="007F4ED2"/>
    <w:pPr>
      <w:ind w:firstLine="0"/>
    </w:pPr>
  </w:style>
  <w:style w:type="paragraph" w:customStyle="1" w:styleId="ListNote">
    <w:name w:val="List Note"/>
    <w:basedOn w:val="List"/>
    <w:rsid w:val="007F4ED2"/>
    <w:pPr>
      <w:pBdr>
        <w:top w:val="single" w:sz="6" w:space="2" w:color="918585"/>
        <w:bottom w:val="single" w:sz="6" w:space="2" w:color="918585"/>
      </w:pBdr>
      <w:tabs>
        <w:tab w:val="left" w:pos="1021"/>
      </w:tabs>
      <w:ind w:firstLine="0"/>
    </w:pPr>
  </w:style>
  <w:style w:type="paragraph" w:customStyle="1" w:styleId="Warning">
    <w:name w:val="Warning"/>
    <w:basedOn w:val="BodyText"/>
    <w:rsid w:val="007F4ED2"/>
    <w:pPr>
      <w:shd w:val="clear" w:color="auto" w:fill="D9D9D9"/>
      <w:tabs>
        <w:tab w:val="left" w:pos="992"/>
      </w:tabs>
      <w:ind w:left="119" w:right="119"/>
    </w:pPr>
    <w:rPr>
      <w:sz w:val="20"/>
    </w:rPr>
  </w:style>
  <w:style w:type="paragraph" w:customStyle="1" w:styleId="MarginIcons">
    <w:name w:val="Margin Icons"/>
    <w:basedOn w:val="BodyText"/>
    <w:rsid w:val="007F4E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ED2"/>
    <w:rPr>
      <w:rFonts w:ascii="Courier New" w:hAnsi="Courier New"/>
    </w:rPr>
  </w:style>
  <w:style w:type="paragraph" w:customStyle="1" w:styleId="NoteBullet">
    <w:name w:val="Note Bullet"/>
    <w:basedOn w:val="Note"/>
    <w:rsid w:val="007F4ED2"/>
    <w:pPr>
      <w:tabs>
        <w:tab w:val="clear" w:pos="680"/>
      </w:tabs>
      <w:spacing w:before="60" w:after="60"/>
    </w:pPr>
  </w:style>
  <w:style w:type="paragraph" w:customStyle="1" w:styleId="SubHeading2">
    <w:name w:val="SubHeading2"/>
    <w:basedOn w:val="HeadingBase"/>
    <w:rsid w:val="007F4ED2"/>
    <w:pPr>
      <w:spacing w:before="240" w:after="60"/>
    </w:pPr>
    <w:rPr>
      <w:sz w:val="20"/>
    </w:rPr>
  </w:style>
  <w:style w:type="paragraph" w:customStyle="1" w:styleId="SubHeading1">
    <w:name w:val="SubHeading1"/>
    <w:basedOn w:val="HeadingBase"/>
    <w:rsid w:val="007F4ED2"/>
    <w:pPr>
      <w:spacing w:before="240" w:after="60"/>
    </w:pPr>
    <w:rPr>
      <w:color w:val="918585"/>
      <w:sz w:val="22"/>
    </w:rPr>
  </w:style>
  <w:style w:type="paragraph" w:customStyle="1" w:styleId="SideHeading">
    <w:name w:val="Side Heading"/>
    <w:basedOn w:val="HeadingBase"/>
    <w:rsid w:val="007F4E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ED2"/>
    <w:pPr>
      <w:numPr>
        <w:numId w:val="13"/>
      </w:numPr>
    </w:pPr>
  </w:style>
  <w:style w:type="paragraph" w:styleId="PlainText">
    <w:name w:val="Plain Text"/>
    <w:basedOn w:val="Normal"/>
    <w:link w:val="PlainTextChar"/>
    <w:rsid w:val="007F4ED2"/>
    <w:rPr>
      <w:sz w:val="20"/>
    </w:rPr>
  </w:style>
  <w:style w:type="character" w:customStyle="1" w:styleId="PlainTextChar">
    <w:name w:val="Plain Text Char"/>
    <w:basedOn w:val="DefaultParagraphFont"/>
    <w:link w:val="PlainText"/>
    <w:rsid w:val="007F4ED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F4ED2"/>
    <w:rPr>
      <w:b/>
      <w:smallCaps/>
    </w:rPr>
  </w:style>
  <w:style w:type="paragraph" w:customStyle="1" w:styleId="TableListNumber">
    <w:name w:val="Table List Number"/>
    <w:basedOn w:val="ListNumber"/>
    <w:rsid w:val="007F4ED2"/>
    <w:pPr>
      <w:numPr>
        <w:numId w:val="0"/>
      </w:numPr>
    </w:pPr>
  </w:style>
  <w:style w:type="paragraph" w:styleId="TOC4">
    <w:name w:val="toc 4"/>
    <w:basedOn w:val="TOCBase"/>
    <w:next w:val="Normal"/>
    <w:semiHidden/>
    <w:rsid w:val="007F4ED2"/>
    <w:pPr>
      <w:tabs>
        <w:tab w:val="right" w:leader="dot" w:pos="9071"/>
      </w:tabs>
      <w:ind w:left="1701"/>
    </w:pPr>
  </w:style>
  <w:style w:type="paragraph" w:customStyle="1" w:styleId="ListAlpha">
    <w:name w:val="List Alpha"/>
    <w:basedOn w:val="List"/>
    <w:rsid w:val="007F4ED2"/>
    <w:pPr>
      <w:numPr>
        <w:numId w:val="10"/>
      </w:numPr>
    </w:pPr>
  </w:style>
  <w:style w:type="paragraph" w:customStyle="1" w:styleId="ListAlpha2">
    <w:name w:val="List Alpha 2"/>
    <w:basedOn w:val="List2"/>
    <w:rsid w:val="007F4ED2"/>
    <w:pPr>
      <w:numPr>
        <w:numId w:val="9"/>
      </w:numPr>
    </w:pPr>
  </w:style>
  <w:style w:type="paragraph" w:styleId="List2">
    <w:name w:val="List 2"/>
    <w:basedOn w:val="BodyText"/>
    <w:rsid w:val="007F4ED2"/>
    <w:pPr>
      <w:tabs>
        <w:tab w:val="left" w:pos="680"/>
      </w:tabs>
      <w:spacing w:before="60" w:after="60"/>
      <w:ind w:left="680" w:hanging="340"/>
    </w:pPr>
  </w:style>
  <w:style w:type="paragraph" w:styleId="List3">
    <w:name w:val="List 3"/>
    <w:basedOn w:val="BodyText"/>
    <w:rsid w:val="007F4ED2"/>
    <w:pPr>
      <w:tabs>
        <w:tab w:val="left" w:pos="1021"/>
      </w:tabs>
      <w:spacing w:before="60" w:after="60"/>
      <w:ind w:left="1020" w:hanging="340"/>
    </w:pPr>
  </w:style>
  <w:style w:type="paragraph" w:styleId="List4">
    <w:name w:val="List 4"/>
    <w:basedOn w:val="BodyText"/>
    <w:rsid w:val="007F4ED2"/>
    <w:pPr>
      <w:tabs>
        <w:tab w:val="left" w:pos="1361"/>
      </w:tabs>
      <w:spacing w:before="60" w:after="60"/>
      <w:ind w:left="1361" w:hanging="340"/>
    </w:pPr>
  </w:style>
  <w:style w:type="paragraph" w:styleId="List5">
    <w:name w:val="List 5"/>
    <w:basedOn w:val="BodyText"/>
    <w:rsid w:val="007F4ED2"/>
    <w:pPr>
      <w:tabs>
        <w:tab w:val="left" w:pos="1701"/>
      </w:tabs>
      <w:spacing w:before="60" w:after="60"/>
      <w:ind w:left="1701" w:hanging="340"/>
    </w:pPr>
  </w:style>
  <w:style w:type="paragraph" w:styleId="ListBullet4">
    <w:name w:val="List Bullet 4"/>
    <w:basedOn w:val="List4"/>
    <w:rsid w:val="007F4ED2"/>
    <w:pPr>
      <w:numPr>
        <w:numId w:val="4"/>
      </w:numPr>
    </w:pPr>
  </w:style>
  <w:style w:type="paragraph" w:styleId="ListBullet5">
    <w:name w:val="List Bullet 5"/>
    <w:basedOn w:val="List5"/>
    <w:rsid w:val="007F4ED2"/>
    <w:pPr>
      <w:numPr>
        <w:numId w:val="5"/>
      </w:numPr>
    </w:pPr>
  </w:style>
  <w:style w:type="paragraph" w:styleId="ListContinue2">
    <w:name w:val="List Continue 2"/>
    <w:basedOn w:val="List2"/>
    <w:rsid w:val="007F4ED2"/>
    <w:pPr>
      <w:ind w:firstLine="0"/>
    </w:pPr>
  </w:style>
  <w:style w:type="paragraph" w:styleId="ListContinue3">
    <w:name w:val="List Continue 3"/>
    <w:basedOn w:val="List3"/>
    <w:rsid w:val="007F4ED2"/>
    <w:pPr>
      <w:ind w:left="1021" w:firstLine="0"/>
    </w:pPr>
  </w:style>
  <w:style w:type="paragraph" w:styleId="ListContinue4">
    <w:name w:val="List Continue 4"/>
    <w:basedOn w:val="List4"/>
    <w:rsid w:val="007F4ED2"/>
    <w:pPr>
      <w:ind w:firstLine="0"/>
    </w:pPr>
  </w:style>
  <w:style w:type="paragraph" w:styleId="ListContinue5">
    <w:name w:val="List Continue 5"/>
    <w:basedOn w:val="List5"/>
    <w:rsid w:val="007F4ED2"/>
    <w:pPr>
      <w:ind w:firstLine="0"/>
    </w:pPr>
  </w:style>
  <w:style w:type="paragraph" w:styleId="ListNumber3">
    <w:name w:val="List Number 3"/>
    <w:basedOn w:val="List3"/>
    <w:rsid w:val="007F4ED2"/>
    <w:pPr>
      <w:numPr>
        <w:numId w:val="6"/>
      </w:numPr>
    </w:pPr>
  </w:style>
  <w:style w:type="paragraph" w:styleId="ListNumber4">
    <w:name w:val="List Number 4"/>
    <w:basedOn w:val="List4"/>
    <w:rsid w:val="007F4ED2"/>
    <w:pPr>
      <w:numPr>
        <w:numId w:val="7"/>
      </w:numPr>
    </w:pPr>
  </w:style>
  <w:style w:type="paragraph" w:styleId="ListNumber5">
    <w:name w:val="List Number 5"/>
    <w:basedOn w:val="List5"/>
    <w:rsid w:val="007F4ED2"/>
    <w:pPr>
      <w:numPr>
        <w:numId w:val="8"/>
      </w:numPr>
    </w:pPr>
  </w:style>
  <w:style w:type="paragraph" w:styleId="BlockText">
    <w:name w:val="Block Text"/>
    <w:basedOn w:val="Normal"/>
    <w:rsid w:val="007F4ED2"/>
    <w:pPr>
      <w:spacing w:after="120"/>
      <w:ind w:left="1440" w:right="1440"/>
    </w:pPr>
  </w:style>
  <w:style w:type="character" w:customStyle="1" w:styleId="Subscript">
    <w:name w:val="Subscript"/>
    <w:basedOn w:val="DefaultParagraphFont"/>
    <w:rsid w:val="007F4ED2"/>
    <w:rPr>
      <w:sz w:val="16"/>
      <w:vertAlign w:val="subscript"/>
    </w:rPr>
  </w:style>
  <w:style w:type="character" w:customStyle="1" w:styleId="Superscript">
    <w:name w:val="Superscript"/>
    <w:basedOn w:val="DefaultParagraphFont"/>
    <w:rsid w:val="007F4ED2"/>
    <w:rPr>
      <w:sz w:val="16"/>
      <w:vertAlign w:val="superscript"/>
    </w:rPr>
  </w:style>
  <w:style w:type="character" w:customStyle="1" w:styleId="Symbols">
    <w:name w:val="Symbols"/>
    <w:basedOn w:val="DefaultParagraphFont"/>
    <w:rsid w:val="007F4ED2"/>
    <w:rPr>
      <w:rFonts w:ascii="Symbol" w:hAnsi="Symbol"/>
    </w:rPr>
  </w:style>
  <w:style w:type="character" w:customStyle="1" w:styleId="MenuOptions">
    <w:name w:val="Menu Options"/>
    <w:basedOn w:val="DefaultParagraphFont"/>
    <w:rsid w:val="007F4ED2"/>
    <w:rPr>
      <w:rFonts w:ascii="Arial Narrow" w:hAnsi="Arial Narrow"/>
      <w:smallCaps/>
    </w:rPr>
  </w:style>
  <w:style w:type="character" w:customStyle="1" w:styleId="Buttons">
    <w:name w:val="Buttons"/>
    <w:basedOn w:val="DefaultParagraphFont"/>
    <w:rsid w:val="007F4ED2"/>
    <w:rPr>
      <w:b/>
    </w:rPr>
  </w:style>
  <w:style w:type="character" w:customStyle="1" w:styleId="Underlined">
    <w:name w:val="Underlined"/>
    <w:basedOn w:val="DefaultParagraphFont"/>
    <w:rsid w:val="007F4ED2"/>
    <w:rPr>
      <w:u w:val="single"/>
    </w:rPr>
  </w:style>
  <w:style w:type="paragraph" w:customStyle="1" w:styleId="TableBodyTextRight">
    <w:name w:val="Table Body Text Right"/>
    <w:basedOn w:val="TableBodyText"/>
    <w:rsid w:val="007F4ED2"/>
    <w:pPr>
      <w:widowControl w:val="0"/>
      <w:autoSpaceDE w:val="0"/>
      <w:autoSpaceDN w:val="0"/>
      <w:adjustRightInd w:val="0"/>
      <w:jc w:val="right"/>
    </w:pPr>
    <w:rPr>
      <w:rFonts w:cs="Arial"/>
      <w:szCs w:val="18"/>
    </w:rPr>
  </w:style>
  <w:style w:type="paragraph" w:customStyle="1" w:styleId="CopyrightText">
    <w:name w:val="Copyright Text"/>
    <w:basedOn w:val="BodyText"/>
    <w:rsid w:val="007F4ED2"/>
    <w:rPr>
      <w:sz w:val="18"/>
    </w:rPr>
  </w:style>
  <w:style w:type="paragraph" w:customStyle="1" w:styleId="BodySmallRight">
    <w:name w:val="Body Small Right"/>
    <w:basedOn w:val="BodyTextRight"/>
    <w:rsid w:val="007F4ED2"/>
    <w:rPr>
      <w:sz w:val="18"/>
      <w:szCs w:val="18"/>
    </w:rPr>
  </w:style>
  <w:style w:type="paragraph" w:customStyle="1" w:styleId="MarginEdition">
    <w:name w:val="Margin Edition"/>
    <w:basedOn w:val="MarginNote"/>
    <w:rsid w:val="007F4ED2"/>
    <w:pPr>
      <w:spacing w:before="0" w:after="0"/>
    </w:pPr>
    <w:rPr>
      <w:rFonts w:ascii="Times New Roman" w:hAnsi="Times New Roman"/>
      <w:color w:val="999999"/>
    </w:rPr>
  </w:style>
  <w:style w:type="paragraph" w:customStyle="1" w:styleId="Spacer">
    <w:name w:val="Spacer"/>
    <w:basedOn w:val="Normal"/>
    <w:rsid w:val="007F4ED2"/>
    <w:rPr>
      <w:sz w:val="2"/>
      <w:szCs w:val="2"/>
    </w:rPr>
  </w:style>
  <w:style w:type="character" w:customStyle="1" w:styleId="Small">
    <w:name w:val="Small"/>
    <w:basedOn w:val="DefaultParagraphFont"/>
    <w:rsid w:val="007F4ED2"/>
    <w:rPr>
      <w:sz w:val="16"/>
    </w:rPr>
  </w:style>
  <w:style w:type="paragraph" w:customStyle="1" w:styleId="WideTable">
    <w:name w:val="Wide Table"/>
    <w:basedOn w:val="Normal"/>
    <w:rsid w:val="007F4ED2"/>
    <w:pPr>
      <w:ind w:left="-1418"/>
    </w:pPr>
    <w:rPr>
      <w:sz w:val="2"/>
      <w:szCs w:val="2"/>
    </w:rPr>
  </w:style>
  <w:style w:type="character" w:styleId="PageNumber">
    <w:name w:val="page number"/>
    <w:basedOn w:val="DefaultParagraphFont"/>
    <w:rsid w:val="007F4ED2"/>
  </w:style>
  <w:style w:type="paragraph" w:styleId="Quote">
    <w:name w:val="Quote"/>
    <w:basedOn w:val="Heading1"/>
    <w:link w:val="QuoteChar"/>
    <w:qFormat/>
    <w:rsid w:val="007F4ED2"/>
    <w:rPr>
      <w:b w:val="0"/>
      <w:sz w:val="72"/>
      <w:szCs w:val="72"/>
      <w:lang w:val="en-NZ"/>
    </w:rPr>
  </w:style>
  <w:style w:type="character" w:customStyle="1" w:styleId="QuoteChar">
    <w:name w:val="Quote Char"/>
    <w:basedOn w:val="DefaultParagraphFont"/>
    <w:link w:val="Quote"/>
    <w:rsid w:val="007F4E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ED2"/>
    <w:pPr>
      <w:pageBreakBefore/>
    </w:pPr>
  </w:style>
  <w:style w:type="paragraph" w:customStyle="1" w:styleId="Border">
    <w:name w:val="Border"/>
    <w:basedOn w:val="Normal"/>
    <w:qFormat/>
    <w:rsid w:val="007F4E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ED2"/>
    <w:rPr>
      <w:b/>
      <w:bCs/>
      <w:i/>
      <w:iCs/>
      <w:color w:val="auto"/>
    </w:rPr>
  </w:style>
  <w:style w:type="paragraph" w:styleId="IntenseQuote">
    <w:name w:val="Intense Quote"/>
    <w:basedOn w:val="Normal"/>
    <w:next w:val="Normal"/>
    <w:link w:val="IntenseQuoteChar"/>
    <w:uiPriority w:val="30"/>
    <w:qFormat/>
    <w:rsid w:val="007F4E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ED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F4ED2"/>
    <w:rPr>
      <w:smallCaps/>
      <w:color w:val="auto"/>
      <w:u w:val="single"/>
    </w:rPr>
  </w:style>
  <w:style w:type="character" w:styleId="IntenseReference">
    <w:name w:val="Intense Reference"/>
    <w:basedOn w:val="DefaultParagraphFont"/>
    <w:uiPriority w:val="32"/>
    <w:qFormat/>
    <w:rsid w:val="007F4ED2"/>
    <w:rPr>
      <w:b/>
      <w:bCs/>
      <w:smallCaps/>
      <w:color w:val="auto"/>
      <w:spacing w:val="5"/>
      <w:u w:val="single"/>
    </w:rPr>
  </w:style>
  <w:style w:type="paragraph" w:customStyle="1" w:styleId="2ColumnHeading">
    <w:name w:val="2Column Heading"/>
    <w:basedOn w:val="BodyText"/>
    <w:qFormat/>
    <w:rsid w:val="007F4ED2"/>
    <w:pPr>
      <w:spacing w:after="60"/>
      <w:ind w:left="-2268"/>
    </w:pPr>
    <w:rPr>
      <w:b/>
    </w:rPr>
  </w:style>
  <w:style w:type="paragraph" w:customStyle="1" w:styleId="Heading1TOC">
    <w:name w:val="Heading1 TOC"/>
    <w:basedOn w:val="Normal"/>
    <w:qFormat/>
    <w:rsid w:val="007F4ED2"/>
    <w:pPr>
      <w:spacing w:before="240" w:after="120"/>
    </w:pPr>
    <w:rPr>
      <w:rFonts w:ascii="Times New Roman" w:hAnsi="Times New Roman"/>
      <w:b/>
      <w:sz w:val="32"/>
    </w:rPr>
  </w:style>
  <w:style w:type="paragraph" w:customStyle="1" w:styleId="Heading2TOC">
    <w:name w:val="Heading2 TOC"/>
    <w:basedOn w:val="Normal"/>
    <w:qFormat/>
    <w:rsid w:val="007F4ED2"/>
    <w:pPr>
      <w:spacing w:before="240" w:after="60"/>
    </w:pPr>
    <w:rPr>
      <w:rFonts w:ascii="Times New Roman" w:hAnsi="Times New Roman"/>
      <w:b/>
      <w:sz w:val="28"/>
    </w:rPr>
  </w:style>
  <w:style w:type="character" w:customStyle="1" w:styleId="Underline">
    <w:name w:val="Underline"/>
    <w:basedOn w:val="DefaultParagraphFont"/>
    <w:qFormat/>
    <w:rsid w:val="007F4ED2"/>
    <w:rPr>
      <w:u w:val="single"/>
    </w:rPr>
  </w:style>
  <w:style w:type="paragraph" w:styleId="BalloonText">
    <w:name w:val="Balloon Text"/>
    <w:basedOn w:val="Normal"/>
    <w:link w:val="BalloonTextChar"/>
    <w:rsid w:val="007F4ED2"/>
    <w:rPr>
      <w:rFonts w:ascii="Tahoma" w:hAnsi="Tahoma" w:cs="Tahoma"/>
      <w:sz w:val="16"/>
      <w:szCs w:val="16"/>
    </w:rPr>
  </w:style>
  <w:style w:type="character" w:customStyle="1" w:styleId="BalloonTextChar">
    <w:name w:val="Balloon Text Char"/>
    <w:basedOn w:val="DefaultParagraphFont"/>
    <w:link w:val="BalloonText"/>
    <w:rsid w:val="007F4ED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4E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4ED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2690</Words>
  <Characters>18552</Characters>
  <Application>Microsoft Office Word</Application>
  <DocSecurity>0</DocSecurity>
  <Lines>869</Lines>
  <Paragraphs>604</Paragraphs>
  <ScaleCrop>false</ScaleCrop>
  <Company>Author-it Software Corporation Ltd.</Company>
  <LinksUpToDate>false</LinksUpToDate>
  <CharactersWithSpaces>20713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AUR20505 Certificate II in Automotive Vehicle Servicing</dc:title>
  <dc:subject>Approved</dc:subject>
  <dc:creator>Auto Skills Australia</dc:creator>
  <cp:keywords>Release: 2</cp:keywords>
  <dc:description>Copyright © 1996-2007 Author-it Software Corporation Ltd., all rights reserved.</dc:description>
  <cp:lastModifiedBy>Windows User</cp:lastModifiedBy>
  <cp:revision>3</cp:revision>
  <dcterms:created xsi:type="dcterms:W3CDTF">2012-05-27T04:39:00Z</dcterms:created>
  <dcterms:modified xsi:type="dcterms:W3CDTF">2012-05-27T04:39:00Z</dcterms:modified>
</cp:coreProperties>
</file>