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D2A" w:rsidP="001E6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AURVTW010 Set up and use welding equipment</w:t>
      </w:r>
      <w:r>
        <w:fldChar w:fldCharType="end"/>
      </w:r>
    </w:p>
    <w:p w:rsidR="001E6D2A" w:rsidP="001E6D2A">
      <w:pPr>
        <w:pStyle w:val="Version"/>
        <w:sectPr w:rsidSect="00370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E9C" w:rsidP="00370E9C">
      <w:pPr>
        <w:pStyle w:val="SuperHeading"/>
      </w:pPr>
      <w:r w:rsidRPr="00370E9C">
        <w:t>Assessment Requirements for AURVTW010 Set up and use welding equipment</w:t>
      </w:r>
    </w:p>
    <w:p w:rsidR="00000000" w:rsidRPr="00370E9C" w:rsidP="00370E9C">
      <w:pPr>
        <w:pStyle w:val="Heading1"/>
      </w:pPr>
      <w:bookmarkStart w:id="1" w:name="O_660553"/>
      <w:bookmarkEnd w:id="1"/>
      <w:r w:rsidRPr="00370E9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E6D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E9C" w:rsidP="00370E9C">
            <w:pPr>
              <w:pStyle w:val="BodyText"/>
            </w:pPr>
            <w:r w:rsidRPr="00370E9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E9C">
            <w:pPr>
              <w:pStyle w:val="BodyText"/>
              <w:rPr>
                <w:lang w:val="en-NZ"/>
              </w:rPr>
            </w:pPr>
            <w:r w:rsidRPr="00370E9C">
              <w:rPr>
                <w:rStyle w:val="SpecialBold"/>
              </w:rPr>
              <w:t>Comment</w:t>
            </w:r>
          </w:p>
        </w:tc>
      </w:tr>
      <w:tr w:rsidTr="001E6D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E9C">
            <w:pPr>
              <w:pStyle w:val="BodyText"/>
              <w:rPr>
                <w:lang w:val="en-NZ"/>
              </w:rPr>
            </w:pPr>
            <w:r w:rsidRPr="00370E9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E9C" w:rsidP="00370E9C">
            <w:pPr>
              <w:pStyle w:val="BodyText"/>
            </w:pPr>
            <w:r w:rsidRPr="00370E9C">
              <w:t>New unit of competency</w:t>
            </w:r>
          </w:p>
        </w:tc>
      </w:tr>
    </w:tbl>
    <w:p w:rsidR="00000000" w:rsidRPr="00370E9C" w:rsidP="00370E9C">
      <w:pPr>
        <w:pStyle w:val="BodyText"/>
      </w:pPr>
    </w:p>
    <w:p w:rsidR="00000000" w:rsidRPr="00370E9C" w:rsidP="00370E9C">
      <w:pPr>
        <w:pStyle w:val="AllowPageBreak"/>
      </w:pPr>
    </w:p>
    <w:p w:rsidR="00000000" w:rsidRPr="00370E9C" w:rsidP="00370E9C">
      <w:pPr>
        <w:pStyle w:val="Heading1"/>
      </w:pPr>
      <w:bookmarkStart w:id="2" w:name="O_660556"/>
      <w:bookmarkEnd w:id="2"/>
      <w:r w:rsidRPr="00370E9C">
        <w:t>Performance Evidence</w:t>
      </w:r>
    </w:p>
    <w:p w:rsidR="00000000" w:rsidRPr="00370E9C" w:rsidP="001E6D2A">
      <w:pPr>
        <w:pStyle w:val="BodyText"/>
      </w:pPr>
      <w:r w:rsidRPr="00370E9C">
        <w:t>Before competency can be determined, individuals must demonstrate they can perform the following according to the standard defined in this unit’s elements, performance criteria and foundation skills:</w:t>
      </w:r>
    </w:p>
    <w:p w:rsidR="00000000" w:rsidRPr="00370E9C" w:rsidP="00370E9C">
      <w:pPr>
        <w:pStyle w:val="ListBullet"/>
      </w:pPr>
      <w:r w:rsidRPr="00370E9C">
        <w:t>set up and use welding equipment on at least two occasi</w:t>
      </w:r>
      <w:r w:rsidRPr="00370E9C">
        <w:t>ons.</w:t>
      </w:r>
    </w:p>
    <w:p w:rsidR="00000000" w:rsidRPr="00370E9C" w:rsidP="00370E9C">
      <w:pPr>
        <w:pStyle w:val="AllowPageBreak"/>
      </w:pPr>
    </w:p>
    <w:p w:rsidR="00000000" w:rsidRPr="00370E9C" w:rsidP="00370E9C">
      <w:pPr>
        <w:pStyle w:val="Heading1"/>
      </w:pPr>
      <w:bookmarkStart w:id="3" w:name="O_660555"/>
      <w:bookmarkEnd w:id="3"/>
      <w:r w:rsidRPr="00370E9C">
        <w:t>Knowledge Evidence</w:t>
      </w:r>
    </w:p>
    <w:p w:rsidR="00000000" w:rsidRPr="00370E9C" w:rsidP="001E6D2A">
      <w:pPr>
        <w:pStyle w:val="BodyText"/>
      </w:pPr>
      <w:r w:rsidRPr="00370E9C">
        <w:t>Individuals must be able to demonstrate knowledge of:</w:t>
      </w:r>
    </w:p>
    <w:p w:rsidR="00000000" w:rsidRPr="00370E9C" w:rsidP="00370E9C">
      <w:pPr>
        <w:pStyle w:val="ListBullet"/>
      </w:pPr>
      <w:r w:rsidRPr="00370E9C">
        <w:t>key aspects of work health and safety (WHS), occupational health and safety (OHS) and environmental requirements, including:</w:t>
      </w:r>
    </w:p>
    <w:p w:rsidR="00000000" w:rsidRPr="00370E9C" w:rsidP="00370E9C">
      <w:pPr>
        <w:pStyle w:val="ListBullet2"/>
      </w:pPr>
      <w:r w:rsidRPr="00370E9C">
        <w:t>safety data sheets (SDS) and toxic chemicals and gases used and produced in welding</w:t>
      </w:r>
    </w:p>
    <w:p w:rsidR="00000000" w:rsidRPr="00370E9C" w:rsidP="00370E9C">
      <w:pPr>
        <w:pStyle w:val="ListBullet2"/>
      </w:pPr>
      <w:r w:rsidRPr="00370E9C">
        <w:t>potential hazards and risks relating to welding, including fire hazards and ultraviolet skin and eye damage</w:t>
      </w:r>
    </w:p>
    <w:p w:rsidR="00000000" w:rsidRPr="00370E9C" w:rsidP="00370E9C">
      <w:pPr>
        <w:pStyle w:val="ListBullet2"/>
      </w:pPr>
      <w:r w:rsidRPr="00370E9C">
        <w:t>use of personal protective equipment, including safety glasses a</w:t>
      </w:r>
      <w:r w:rsidRPr="00370E9C">
        <w:t>nd welding helmets, ear protections and safety footwear</w:t>
      </w:r>
    </w:p>
    <w:p w:rsidR="00000000" w:rsidRPr="00370E9C" w:rsidP="00370E9C">
      <w:pPr>
        <w:pStyle w:val="ListBullet2"/>
      </w:pPr>
      <w:r w:rsidRPr="00370E9C">
        <w:t>use of fume extraction system and welding bay</w:t>
      </w:r>
    </w:p>
    <w:p w:rsidR="00000000" w:rsidRPr="00370E9C" w:rsidP="00370E9C">
      <w:pPr>
        <w:pStyle w:val="ListBullet2"/>
      </w:pPr>
      <w:r w:rsidRPr="00370E9C">
        <w:t>disposal of welding material and wastes</w:t>
      </w:r>
    </w:p>
    <w:p w:rsidR="00000000" w:rsidRPr="00370E9C" w:rsidP="00370E9C">
      <w:pPr>
        <w:pStyle w:val="ListBullet"/>
      </w:pPr>
      <w:r w:rsidRPr="00370E9C">
        <w:t>types of welding equipment, including:</w:t>
      </w:r>
    </w:p>
    <w:p w:rsidR="00000000" w:rsidRPr="00370E9C" w:rsidP="00370E9C">
      <w:pPr>
        <w:pStyle w:val="ListBullet2"/>
      </w:pPr>
      <w:r w:rsidRPr="00370E9C">
        <w:t>metal arc</w:t>
      </w:r>
    </w:p>
    <w:p w:rsidR="00000000" w:rsidRPr="00370E9C" w:rsidP="00370E9C">
      <w:pPr>
        <w:pStyle w:val="ListBullet2"/>
      </w:pPr>
      <w:r w:rsidRPr="00370E9C">
        <w:t>gas metal arc</w:t>
      </w:r>
    </w:p>
    <w:p w:rsidR="00000000" w:rsidRPr="00370E9C" w:rsidP="00370E9C">
      <w:pPr>
        <w:pStyle w:val="ListBullet"/>
      </w:pPr>
      <w:r w:rsidRPr="00370E9C">
        <w:t>types of fluxes and gases used in welding</w:t>
      </w:r>
    </w:p>
    <w:p w:rsidR="00000000" w:rsidRPr="00370E9C" w:rsidP="00370E9C">
      <w:pPr>
        <w:pStyle w:val="ListBullet"/>
      </w:pPr>
      <w:r w:rsidRPr="00370E9C">
        <w:t>weldin</w:t>
      </w:r>
      <w:r w:rsidRPr="00370E9C">
        <w:t>g equipment set-up procedures</w:t>
      </w:r>
    </w:p>
    <w:p w:rsidR="00000000" w:rsidRPr="00370E9C" w:rsidP="00370E9C">
      <w:pPr>
        <w:pStyle w:val="ListBullet"/>
      </w:pPr>
      <w:r w:rsidRPr="00370E9C">
        <w:t>types and purposes of different welding techniques</w:t>
      </w:r>
    </w:p>
    <w:p w:rsidR="00000000" w:rsidRPr="00370E9C" w:rsidP="00370E9C">
      <w:pPr>
        <w:pStyle w:val="ListBullet"/>
      </w:pPr>
      <w:r w:rsidRPr="00370E9C">
        <w:t>key steps in different welding techniques.</w:t>
      </w:r>
    </w:p>
    <w:p w:rsidR="00000000" w:rsidRPr="00370E9C" w:rsidP="00370E9C">
      <w:pPr>
        <w:pStyle w:val="AllowPageBreak"/>
      </w:pPr>
    </w:p>
    <w:p w:rsidR="00000000" w:rsidRPr="00370E9C" w:rsidP="00370E9C">
      <w:pPr>
        <w:pStyle w:val="Heading1"/>
      </w:pPr>
      <w:bookmarkStart w:id="4" w:name="O_660554"/>
      <w:bookmarkEnd w:id="4"/>
      <w:r w:rsidRPr="00370E9C">
        <w:t>Assessment Conditions</w:t>
      </w:r>
    </w:p>
    <w:p w:rsidR="00000000" w:rsidRPr="00370E9C" w:rsidP="001E6D2A">
      <w:pPr>
        <w:pStyle w:val="BodyText"/>
      </w:pPr>
      <w:r w:rsidRPr="00370E9C">
        <w:t>Assessors must satisfy SNR/AQTF assessor requirements.</w:t>
      </w:r>
    </w:p>
    <w:p w:rsidR="00000000" w:rsidRPr="00370E9C" w:rsidP="001E6D2A">
      <w:pPr>
        <w:pStyle w:val="BodyText"/>
      </w:pPr>
      <w:r w:rsidRPr="00370E9C">
        <w:t>Competency is to be assessed in the workplace or a simulated environment that accurately reflects performance in a real workplace setting.</w:t>
      </w:r>
    </w:p>
    <w:p w:rsidR="00000000" w:rsidRPr="00370E9C" w:rsidP="001E6D2A">
      <w:pPr>
        <w:pStyle w:val="BodyText"/>
      </w:pPr>
      <w:r w:rsidRPr="00370E9C">
        <w:t>Where assessment of competency includes third-party evidence, individuals must provide evidence that links them to we</w:t>
      </w:r>
      <w:r w:rsidRPr="00370E9C">
        <w:t>lding activities, e.g. repair orders.</w:t>
      </w:r>
    </w:p>
    <w:p w:rsidR="00000000" w:rsidRPr="00370E9C" w:rsidP="001E6D2A">
      <w:pPr>
        <w:pStyle w:val="BodyText"/>
      </w:pPr>
      <w:r w:rsidRPr="00370E9C">
        <w:t>Assessors must verify performance evidence through questioning on skills and knowledge to ensure correct interpretation and application</w:t>
      </w:r>
    </w:p>
    <w:p w:rsidR="00000000" w:rsidRPr="00370E9C" w:rsidP="001E6D2A">
      <w:pPr>
        <w:pStyle w:val="BodyText"/>
      </w:pPr>
      <w:r w:rsidRPr="00370E9C">
        <w:t>The following resources must be made available:</w:t>
      </w:r>
    </w:p>
    <w:p w:rsidR="00000000" w:rsidRPr="00370E9C" w:rsidP="00370E9C">
      <w:pPr>
        <w:pStyle w:val="ListBullet"/>
      </w:pPr>
      <w:r w:rsidRPr="00370E9C">
        <w:t>automotive workplace or simulated</w:t>
      </w:r>
      <w:r w:rsidRPr="00370E9C">
        <w:t xml:space="preserve"> workplace</w:t>
      </w:r>
    </w:p>
    <w:p w:rsidR="00000000" w:rsidRPr="00370E9C" w:rsidP="00370E9C">
      <w:pPr>
        <w:pStyle w:val="ListBullet"/>
      </w:pPr>
      <w:r w:rsidRPr="00370E9C">
        <w:t>welding equipment and tools, including at least one of the following:</w:t>
      </w:r>
    </w:p>
    <w:p w:rsidR="00000000" w:rsidRPr="00370E9C" w:rsidP="00370E9C">
      <w:pPr>
        <w:pStyle w:val="ListBullet"/>
      </w:pPr>
      <w:r w:rsidRPr="00370E9C">
        <w:t>metal arc welder</w:t>
      </w:r>
    </w:p>
    <w:p w:rsidR="00000000" w:rsidRPr="00370E9C" w:rsidP="00370E9C">
      <w:pPr>
        <w:pStyle w:val="ListBullet"/>
      </w:pPr>
      <w:r w:rsidRPr="00370E9C">
        <w:t>MIG welder</w:t>
      </w:r>
    </w:p>
    <w:p w:rsidR="00000000" w:rsidRPr="00370E9C" w:rsidP="00370E9C">
      <w:pPr>
        <w:pStyle w:val="ListBullet"/>
      </w:pPr>
      <w:r w:rsidRPr="00370E9C">
        <w:t>welding bay, curtains and fume extraction</w:t>
      </w:r>
    </w:p>
    <w:p w:rsidR="00000000" w:rsidRPr="00370E9C" w:rsidP="00370E9C">
      <w:pPr>
        <w:pStyle w:val="ListBullet"/>
      </w:pPr>
      <w:r w:rsidRPr="00370E9C">
        <w:t>fluxes, gases, welding rods and wire.</w:t>
      </w:r>
    </w:p>
    <w:p w:rsidR="00000000" w:rsidRPr="00370E9C" w:rsidP="00370E9C">
      <w:pPr>
        <w:pStyle w:val="AllowPageBreak"/>
      </w:pPr>
    </w:p>
    <w:p w:rsidR="00000000" w:rsidRPr="00370E9C" w:rsidP="00370E9C">
      <w:pPr>
        <w:pStyle w:val="Heading1"/>
      </w:pPr>
      <w:bookmarkStart w:id="5" w:name="O_660552"/>
      <w:bookmarkEnd w:id="5"/>
      <w:r w:rsidRPr="00370E9C">
        <w:t>Links</w:t>
      </w:r>
    </w:p>
    <w:p w:rsidR="00000000" w:rsidRPr="00370E9C" w:rsidP="001E6D2A">
      <w:pPr>
        <w:pStyle w:val="BodyText"/>
      </w:pPr>
      <w:r w:rsidRPr="00370E9C">
        <w:t>Companion Volume implementation guides are f</w:t>
      </w:r>
      <w:r w:rsidRPr="00370E9C">
        <w:t xml:space="preserve">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059B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70E9C" w:rsidP="001E6D2A">
      <w:pPr>
        <w:pStyle w:val="BodyText"/>
      </w:pPr>
      <w:r w:rsidRPr="00370E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059B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70E9C" w:rsidP="00370E9C"/>
    <w:sectPr w:rsidSect="00370E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C" w:rsidRPr="001E6D2A" w:rsidP="001E6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D2A" w:rsidP="00370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6D2A" w:rsidP="00370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6D2A" w:rsidP="00370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D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E9C" w:rsidRPr="001E6D2A" w:rsidP="001E6D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D2A" w:rsidRPr="002D2AF8" w:rsidP="00370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AURVTW010 Set up and use welding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E6D2A" w:rsidP="00370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7225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383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F263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E9C"/>
  </w:style>
  <w:style w:type="character" w:customStyle="1" w:styleId="Heading1Char">
    <w:name w:val="Heading 1 Char"/>
    <w:basedOn w:val="DefaultParagraphFont"/>
    <w:link w:val="Heading1"/>
    <w:rsid w:val="00370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E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E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E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0E9C"/>
    <w:rPr>
      <w:b/>
      <w:spacing w:val="0"/>
    </w:rPr>
  </w:style>
  <w:style w:type="paragraph" w:styleId="ListBullet2">
    <w:name w:val="List Bullet 2"/>
    <w:basedOn w:val="List2"/>
    <w:rsid w:val="00370E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0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E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E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0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E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E9C"/>
    <w:rPr>
      <w:i/>
    </w:rPr>
  </w:style>
  <w:style w:type="paragraph" w:styleId="Caption">
    <w:name w:val="caption"/>
    <w:basedOn w:val="BodyText"/>
    <w:next w:val="Normal"/>
    <w:qFormat/>
    <w:rsid w:val="00370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E9C"/>
  </w:style>
  <w:style w:type="paragraph" w:styleId="TableofFigures">
    <w:name w:val="table of figures"/>
    <w:basedOn w:val="Normal"/>
    <w:next w:val="Normal"/>
    <w:semiHidden/>
    <w:rsid w:val="00370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E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0E9C"/>
    <w:rPr>
      <w:rFonts w:ascii="Wingdings" w:hAnsi="Wingdings"/>
    </w:rPr>
  </w:style>
  <w:style w:type="paragraph" w:customStyle="1" w:styleId="TableHeading">
    <w:name w:val="Table Heading"/>
    <w:basedOn w:val="HeadingBase"/>
    <w:rsid w:val="00370E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E9C"/>
    <w:rPr>
      <w:color w:val="0033CC"/>
      <w:u w:val="none"/>
    </w:rPr>
  </w:style>
  <w:style w:type="paragraph" w:customStyle="1" w:styleId="BodyTextRight">
    <w:name w:val="Body Text Right"/>
    <w:basedOn w:val="BodyText"/>
    <w:rsid w:val="00370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E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E9C"/>
    <w:rPr>
      <w:sz w:val="32"/>
    </w:rPr>
  </w:style>
  <w:style w:type="paragraph" w:customStyle="1" w:styleId="HeadingProcedure">
    <w:name w:val="Heading Procedure"/>
    <w:basedOn w:val="HeadingBase"/>
    <w:next w:val="Normal"/>
    <w:rsid w:val="00370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E9C"/>
    <w:pPr>
      <w:spacing w:before="60" w:after="60"/>
    </w:pPr>
  </w:style>
  <w:style w:type="paragraph" w:styleId="ListContinue">
    <w:name w:val="List Continue"/>
    <w:basedOn w:val="List"/>
    <w:rsid w:val="00370E9C"/>
    <w:pPr>
      <w:ind w:firstLine="0"/>
    </w:pPr>
  </w:style>
  <w:style w:type="paragraph" w:customStyle="1" w:styleId="ListNote">
    <w:name w:val="List Note"/>
    <w:basedOn w:val="List"/>
    <w:rsid w:val="00370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E9C"/>
    <w:rPr>
      <w:rFonts w:ascii="Courier New" w:hAnsi="Courier New"/>
    </w:rPr>
  </w:style>
  <w:style w:type="paragraph" w:customStyle="1" w:styleId="NoteBullet">
    <w:name w:val="Note Bullet"/>
    <w:basedOn w:val="Note"/>
    <w:rsid w:val="00370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E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0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E9C"/>
    <w:rPr>
      <w:b/>
      <w:smallCaps/>
    </w:rPr>
  </w:style>
  <w:style w:type="paragraph" w:customStyle="1" w:styleId="TableListNumber">
    <w:name w:val="Table List Number"/>
    <w:basedOn w:val="ListNumber"/>
    <w:rsid w:val="00370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E9C"/>
    <w:pPr>
      <w:numPr>
        <w:numId w:val="9"/>
      </w:numPr>
    </w:pPr>
  </w:style>
  <w:style w:type="paragraph" w:customStyle="1" w:styleId="ListAlpha2">
    <w:name w:val="List Alpha 2"/>
    <w:basedOn w:val="List2"/>
    <w:rsid w:val="00370E9C"/>
    <w:pPr>
      <w:numPr>
        <w:numId w:val="8"/>
      </w:numPr>
    </w:pPr>
  </w:style>
  <w:style w:type="paragraph" w:styleId="List2">
    <w:name w:val="List 2"/>
    <w:basedOn w:val="BodyText"/>
    <w:rsid w:val="00370E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E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E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0E9C"/>
    <w:pPr>
      <w:numPr>
        <w:numId w:val="4"/>
      </w:numPr>
    </w:pPr>
  </w:style>
  <w:style w:type="paragraph" w:styleId="ListContinue2">
    <w:name w:val="List Continue 2"/>
    <w:basedOn w:val="List2"/>
    <w:rsid w:val="00370E9C"/>
    <w:pPr>
      <w:ind w:firstLine="0"/>
    </w:pPr>
  </w:style>
  <w:style w:type="paragraph" w:styleId="ListContinue3">
    <w:name w:val="List Continue 3"/>
    <w:basedOn w:val="List3"/>
    <w:rsid w:val="00370E9C"/>
    <w:pPr>
      <w:ind w:left="1021" w:firstLine="0"/>
    </w:pPr>
  </w:style>
  <w:style w:type="paragraph" w:styleId="ListContinue4">
    <w:name w:val="List Continue 4"/>
    <w:basedOn w:val="List4"/>
    <w:rsid w:val="00370E9C"/>
    <w:pPr>
      <w:ind w:firstLine="0"/>
    </w:pPr>
  </w:style>
  <w:style w:type="paragraph" w:styleId="ListContinue5">
    <w:name w:val="List Continue 5"/>
    <w:basedOn w:val="List5"/>
    <w:rsid w:val="00370E9C"/>
    <w:pPr>
      <w:ind w:firstLine="0"/>
    </w:pPr>
  </w:style>
  <w:style w:type="paragraph" w:styleId="ListNumber3">
    <w:name w:val="List Number 3"/>
    <w:basedOn w:val="List3"/>
    <w:rsid w:val="00370E9C"/>
    <w:pPr>
      <w:numPr>
        <w:numId w:val="5"/>
      </w:numPr>
    </w:pPr>
  </w:style>
  <w:style w:type="paragraph" w:styleId="ListNumber4">
    <w:name w:val="List Number 4"/>
    <w:basedOn w:val="List4"/>
    <w:rsid w:val="00370E9C"/>
    <w:pPr>
      <w:numPr>
        <w:numId w:val="6"/>
      </w:numPr>
    </w:pPr>
  </w:style>
  <w:style w:type="paragraph" w:styleId="ListNumber5">
    <w:name w:val="List Number 5"/>
    <w:basedOn w:val="List5"/>
    <w:rsid w:val="00370E9C"/>
    <w:pPr>
      <w:numPr>
        <w:numId w:val="7"/>
      </w:numPr>
    </w:pPr>
  </w:style>
  <w:style w:type="paragraph" w:styleId="BlockText">
    <w:name w:val="Block Text"/>
    <w:basedOn w:val="Normal"/>
    <w:rsid w:val="00370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E9C"/>
    <w:rPr>
      <w:sz w:val="16"/>
      <w:vertAlign w:val="superscript"/>
    </w:rPr>
  </w:style>
  <w:style w:type="character" w:customStyle="1" w:styleId="Symbols">
    <w:name w:val="Symbols"/>
    <w:basedOn w:val="DefaultParagraphFont"/>
    <w:rsid w:val="00370E9C"/>
    <w:rPr>
      <w:rFonts w:ascii="Symbol" w:hAnsi="Symbol"/>
    </w:rPr>
  </w:style>
  <w:style w:type="character" w:customStyle="1" w:styleId="MenuOptions">
    <w:name w:val="Menu Options"/>
    <w:basedOn w:val="DefaultParagraphFont"/>
    <w:rsid w:val="00370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E9C"/>
    <w:rPr>
      <w:b/>
    </w:rPr>
  </w:style>
  <w:style w:type="character" w:customStyle="1" w:styleId="Underlined">
    <w:name w:val="Underlined"/>
    <w:basedOn w:val="DefaultParagraphFont"/>
    <w:rsid w:val="00370E9C"/>
    <w:rPr>
      <w:u w:val="single"/>
    </w:rPr>
  </w:style>
  <w:style w:type="paragraph" w:customStyle="1" w:styleId="TableBodyTextRight">
    <w:name w:val="Table Body Text Right"/>
    <w:basedOn w:val="TableBodyText"/>
    <w:rsid w:val="00370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E9C"/>
    <w:rPr>
      <w:sz w:val="18"/>
    </w:rPr>
  </w:style>
  <w:style w:type="paragraph" w:customStyle="1" w:styleId="BodySmallRight">
    <w:name w:val="Body Small Right"/>
    <w:basedOn w:val="BodyTextRight"/>
    <w:rsid w:val="00370E9C"/>
    <w:rPr>
      <w:sz w:val="18"/>
      <w:szCs w:val="18"/>
    </w:rPr>
  </w:style>
  <w:style w:type="paragraph" w:customStyle="1" w:styleId="MarginEdition">
    <w:name w:val="Margin Edition"/>
    <w:basedOn w:val="MarginNote"/>
    <w:rsid w:val="00370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E9C"/>
    <w:rPr>
      <w:sz w:val="2"/>
      <w:szCs w:val="2"/>
    </w:rPr>
  </w:style>
  <w:style w:type="character" w:customStyle="1" w:styleId="Small">
    <w:name w:val="Small"/>
    <w:basedOn w:val="DefaultParagraphFont"/>
    <w:rsid w:val="00370E9C"/>
    <w:rPr>
      <w:sz w:val="16"/>
    </w:rPr>
  </w:style>
  <w:style w:type="paragraph" w:customStyle="1" w:styleId="WideTable">
    <w:name w:val="Wide Table"/>
    <w:basedOn w:val="Normal"/>
    <w:rsid w:val="00370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E9C"/>
  </w:style>
  <w:style w:type="paragraph" w:styleId="Quote">
    <w:name w:val="Quote"/>
    <w:basedOn w:val="Heading1"/>
    <w:link w:val="QuoteChar"/>
    <w:qFormat/>
    <w:rsid w:val="00370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E9C"/>
    <w:pPr>
      <w:pageBreakBefore/>
    </w:pPr>
  </w:style>
  <w:style w:type="paragraph" w:customStyle="1" w:styleId="Border">
    <w:name w:val="Border"/>
    <w:basedOn w:val="Normal"/>
    <w:qFormat/>
    <w:rsid w:val="00370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E9C"/>
    <w:rPr>
      <w:u w:val="single"/>
    </w:rPr>
  </w:style>
  <w:style w:type="character" w:customStyle="1" w:styleId="BoldandItalics">
    <w:name w:val="Bold and Italics"/>
    <w:qFormat/>
    <w:rsid w:val="00370E9C"/>
    <w:rPr>
      <w:b/>
      <w:i/>
      <w:u w:val="none"/>
    </w:rPr>
  </w:style>
  <w:style w:type="paragraph" w:styleId="BalloonText">
    <w:name w:val="Balloon Text"/>
    <w:basedOn w:val="Normal"/>
    <w:link w:val="BalloonTextChar"/>
    <w:rsid w:val="00370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E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E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E9C"/>
    <w:pPr>
      <w:spacing w:before="0" w:after="0"/>
    </w:pPr>
  </w:style>
  <w:style w:type="paragraph" w:customStyle="1" w:styleId="BodyTextBold">
    <w:name w:val="Body Text Bold"/>
    <w:basedOn w:val="BodyText"/>
    <w:qFormat/>
    <w:rsid w:val="00370E9C"/>
    <w:rPr>
      <w:b/>
    </w:rPr>
  </w:style>
  <w:style w:type="character" w:styleId="Hyperlink">
    <w:name w:val="Hyperlink"/>
    <w:basedOn w:val="DefaultParagraphFont"/>
    <w:uiPriority w:val="99"/>
    <w:unhideWhenUsed/>
    <w:rsid w:val="001E6D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2334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AURVTW010 Set up and use welding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2022-02-23T11:05:00Z</dcterms:created>
  <dcterms:modified xsi:type="dcterms:W3CDTF">2022-02-23T11:05:00Z</dcterms:modified>
</cp:coreProperties>
</file>