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426" w:rsidP="00797426">
      <w:pPr>
        <w:pStyle w:val="Title"/>
      </w:pPr>
      <w:r>
        <w:fldChar w:fldCharType="begin"/>
      </w:r>
      <w:r>
        <w:instrText xml:space="preserve"> TITLE   \* MERGEFORMAT </w:instrText>
      </w:r>
      <w:r>
        <w:fldChar w:fldCharType="separate"/>
      </w:r>
      <w:r>
        <w:t>AURVTW004 Carry out tungsten inert gas welding</w:t>
      </w:r>
      <w:r>
        <w:fldChar w:fldCharType="end"/>
      </w:r>
    </w:p>
    <w:p w:rsidR="00797426" w:rsidP="00797426">
      <w:pPr>
        <w:pStyle w:val="Version"/>
        <w:sectPr w:rsidSect="00C967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7F4" w:rsidP="00C967F4">
      <w:pPr>
        <w:pStyle w:val="SuperHeading"/>
      </w:pPr>
      <w:r w:rsidRPr="00C967F4">
        <w:t>AURVTW004 Carry out tungsten inert gas welding</w:t>
      </w:r>
    </w:p>
    <w:p w:rsidR="00000000" w:rsidRPr="00C967F4" w:rsidP="00C967F4">
      <w:pPr>
        <w:pStyle w:val="Heading1"/>
      </w:pPr>
      <w:bookmarkStart w:id="1" w:name="O_807513"/>
      <w:bookmarkEnd w:id="1"/>
      <w:r w:rsidRPr="00C967F4">
        <w:t>Modification History</w:t>
      </w:r>
    </w:p>
    <w:tbl>
      <w:tblPr>
        <w:tblW w:w="9639" w:type="dxa"/>
        <w:tblLayout w:type="fixed"/>
        <w:tblCellMar>
          <w:left w:w="62" w:type="dxa"/>
          <w:right w:w="62" w:type="dxa"/>
        </w:tblCellMar>
        <w:tblLook w:val="0000"/>
      </w:tblPr>
      <w:tblGrid>
        <w:gridCol w:w="2835"/>
        <w:gridCol w:w="6804"/>
      </w:tblGrid>
      <w:tr w:rsidTr="0079742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7F4" w:rsidP="00C967F4">
            <w:pPr>
              <w:pStyle w:val="BodyText"/>
            </w:pPr>
            <w:r w:rsidRPr="00C967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7F4">
            <w:pPr>
              <w:pStyle w:val="BodyText"/>
              <w:rPr>
                <w:lang w:val="en-NZ"/>
              </w:rPr>
            </w:pPr>
            <w:r w:rsidRPr="00C967F4">
              <w:rPr>
                <w:rStyle w:val="SpecialBold"/>
              </w:rPr>
              <w:t>Comment</w:t>
            </w:r>
          </w:p>
        </w:tc>
      </w:tr>
      <w:tr w:rsidTr="0079742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7F4">
            <w:pPr>
              <w:pStyle w:val="BodyText"/>
              <w:rPr>
                <w:lang w:val="en-NZ"/>
              </w:rPr>
            </w:pPr>
            <w:r w:rsidRPr="00C967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7F4" w:rsidP="00C967F4">
            <w:pPr>
              <w:pStyle w:val="BodyText"/>
            </w:pPr>
            <w:r w:rsidRPr="00C967F4">
              <w:t>New unit of competency.</w:t>
            </w:r>
          </w:p>
        </w:tc>
      </w:tr>
    </w:tbl>
    <w:p w:rsidR="00000000" w:rsidRPr="00C967F4" w:rsidP="00C967F4">
      <w:pPr>
        <w:pStyle w:val="BodyText"/>
      </w:pPr>
    </w:p>
    <w:p w:rsidR="00000000" w:rsidRPr="00C967F4" w:rsidP="00C967F4">
      <w:pPr>
        <w:pStyle w:val="AllowPageBreak"/>
      </w:pPr>
    </w:p>
    <w:p w:rsidR="00000000" w:rsidRPr="00C967F4" w:rsidP="00C967F4">
      <w:pPr>
        <w:pStyle w:val="Heading1"/>
      </w:pPr>
      <w:bookmarkStart w:id="2" w:name="O_807514"/>
      <w:bookmarkEnd w:id="2"/>
      <w:r w:rsidRPr="00C967F4">
        <w:t>Application</w:t>
      </w:r>
    </w:p>
    <w:p w:rsidR="00000000" w:rsidRPr="00C967F4" w:rsidP="00797426">
      <w:pPr>
        <w:pStyle w:val="BodyText"/>
      </w:pPr>
      <w:r w:rsidRPr="00C967F4">
        <w:t>This unit describes the performance outcomes required to carry out welding operations using tungsten inert gas (TIG) welding. It involves prepari</w:t>
      </w:r>
      <w:r w:rsidRPr="00C967F4">
        <w:t>ng for the task, selecting and using TIG welding equipment, setting gas flow pressures and welder settings, selecting and using suitable personal protective equipment (PPE), performing welding to given specifications, inspecting and testing weld quality, a</w:t>
      </w:r>
      <w:r w:rsidRPr="00C967F4">
        <w:t>nd completing workplace processes and documentation.</w:t>
      </w:r>
    </w:p>
    <w:p w:rsidR="00000000" w:rsidRPr="00C967F4" w:rsidP="00797426">
      <w:pPr>
        <w:pStyle w:val="BodyText"/>
      </w:pPr>
      <w:r w:rsidRPr="00C967F4">
        <w:t>It applies to those working in the automotive service and repair industry.</w:t>
      </w:r>
    </w:p>
    <w:p w:rsidR="00000000" w:rsidRPr="00C967F4" w:rsidP="00797426">
      <w:pPr>
        <w:pStyle w:val="BodyText"/>
      </w:pPr>
      <w:r w:rsidRPr="00C967F4">
        <w:t>No licensing, legislative, regulatory or certification requirements apply to this unit at the time of publication.</w:t>
      </w:r>
    </w:p>
    <w:p w:rsidR="00000000" w:rsidRPr="00C967F4" w:rsidP="00C967F4">
      <w:pPr>
        <w:pStyle w:val="Heading1"/>
      </w:pPr>
      <w:bookmarkStart w:id="3" w:name="O_807516"/>
      <w:bookmarkEnd w:id="3"/>
      <w:r w:rsidRPr="00C967F4">
        <w:t>Competency Field</w:t>
      </w:r>
    </w:p>
    <w:p w:rsidR="00000000" w:rsidRPr="00C967F4" w:rsidP="00797426">
      <w:pPr>
        <w:pStyle w:val="BodyText"/>
      </w:pPr>
      <w:r w:rsidRPr="00C967F4">
        <w:t>Vehicle body</w:t>
      </w:r>
    </w:p>
    <w:p w:rsidR="00000000" w:rsidRPr="00C967F4" w:rsidP="00C967F4">
      <w:pPr>
        <w:pStyle w:val="Heading1"/>
      </w:pPr>
      <w:bookmarkStart w:id="4" w:name="O_807517"/>
      <w:bookmarkEnd w:id="4"/>
      <w:r w:rsidRPr="00C967F4">
        <w:t>Unit Sector</w:t>
      </w:r>
    </w:p>
    <w:p w:rsidR="00000000" w:rsidRPr="00C967F4" w:rsidP="00797426">
      <w:pPr>
        <w:pStyle w:val="BodyText"/>
      </w:pPr>
      <w:r w:rsidRPr="00C967F4">
        <w:t>Technical - Welding, Grinding, Machining and Soldering</w:t>
      </w:r>
    </w:p>
    <w:p w:rsidR="00000000" w:rsidRPr="00C967F4" w:rsidP="00C967F4">
      <w:pPr>
        <w:pStyle w:val="Heading1"/>
      </w:pPr>
      <w:bookmarkStart w:id="5" w:name="O_807518"/>
      <w:bookmarkEnd w:id="5"/>
      <w:r w:rsidRPr="00C967F4">
        <w:t>Elements and Performance Criteria</w:t>
      </w:r>
    </w:p>
    <w:tbl>
      <w:tblPr>
        <w:tblW w:w="9639" w:type="dxa"/>
        <w:tblLayout w:type="fixed"/>
        <w:tblCellMar>
          <w:left w:w="62" w:type="dxa"/>
          <w:right w:w="62" w:type="dxa"/>
        </w:tblCellMar>
        <w:tblLook w:val="0000"/>
      </w:tblPr>
      <w:tblGrid>
        <w:gridCol w:w="2835"/>
        <w:gridCol w:w="6804"/>
      </w:tblGrid>
      <w:tr w:rsidTr="00C967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BodyText"/>
            </w:pPr>
            <w:r w:rsidRPr="00C967F4">
              <w:rPr>
                <w:rStyle w:val="SpecialBold"/>
              </w:rPr>
              <w:t>Elements</w:t>
            </w:r>
          </w:p>
          <w:p w:rsidR="00000000" w:rsidRPr="00C967F4" w:rsidP="00C967F4">
            <w:pPr>
              <w:pStyle w:val="BodyText"/>
            </w:pPr>
            <w:r w:rsidRPr="00C967F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BodyText"/>
            </w:pPr>
            <w:r w:rsidRPr="00C967F4">
              <w:rPr>
                <w:rStyle w:val="SpecialBold"/>
              </w:rPr>
              <w:t>Performance Criteria</w:t>
            </w:r>
          </w:p>
          <w:p w:rsidR="00000000" w:rsidP="00C967F4">
            <w:pPr>
              <w:pStyle w:val="BodyText"/>
              <w:rPr>
                <w:lang w:val="en-NZ"/>
              </w:rPr>
            </w:pPr>
            <w:r w:rsidRPr="00C967F4">
              <w:t>Performance</w:t>
            </w:r>
            <w:r w:rsidRPr="00C967F4">
              <w:t xml:space="preserve"> criteria describe the performance needed to demonstrate achievement of the element. Where bold and italicised text is used, further information is detailed in the range of conditions section.</w:t>
            </w:r>
          </w:p>
        </w:tc>
      </w:tr>
      <w:tr w:rsidTr="00C9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
              <w:rPr>
                <w:lang w:val="en-NZ"/>
              </w:rPr>
            </w:pPr>
            <w:r w:rsidRPr="00C967F4">
              <w:t>1.</w:t>
            </w:r>
            <w:r w:rsidRPr="00C967F4">
              <w:tab/>
              <w:t xml:space="preserve">Plan and prepare to </w:t>
            </w:r>
            <w:r w:rsidRPr="00C967F4">
              <w:t>weld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
            </w:pPr>
            <w:r w:rsidRPr="00C967F4">
              <w:t>1.1</w:t>
            </w:r>
            <w:r w:rsidRPr="00C967F4">
              <w:tab/>
              <w:t>Job requirements are determine</w:t>
            </w:r>
            <w:r w:rsidRPr="00C967F4">
              <w:t>d from workplace instructions</w:t>
            </w:r>
          </w:p>
          <w:p w:rsidR="00000000" w:rsidRPr="00C967F4" w:rsidP="00C967F4">
            <w:pPr>
              <w:pStyle w:val="List"/>
            </w:pPr>
            <w:r w:rsidRPr="00C967F4">
              <w:t>1.2</w:t>
            </w:r>
            <w:r w:rsidRPr="00C967F4">
              <w:tab/>
            </w:r>
            <w:r w:rsidRPr="00C967F4">
              <w:rPr>
                <w:rStyle w:val="BoldandItalics"/>
              </w:rPr>
              <w:t>Welding information</w:t>
            </w:r>
            <w:r w:rsidRPr="00C967F4">
              <w:t xml:space="preserve"> is accessed and interpreted</w:t>
            </w:r>
          </w:p>
          <w:p w:rsidR="00000000" w:rsidRPr="00C967F4" w:rsidP="00C967F4">
            <w:pPr>
              <w:pStyle w:val="List"/>
            </w:pPr>
            <w:r w:rsidRPr="00C967F4">
              <w:t>1.3</w:t>
            </w:r>
            <w:r w:rsidRPr="00C967F4">
              <w:tab/>
              <w:t>Hazards associated with the work are identified and risks are managed</w:t>
            </w:r>
          </w:p>
          <w:p w:rsidR="00000000" w:rsidRPr="00C967F4" w:rsidP="00C967F4">
            <w:pPr>
              <w:pStyle w:val="List"/>
            </w:pPr>
            <w:r w:rsidRPr="00C967F4">
              <w:t>1.4</w:t>
            </w:r>
            <w:r w:rsidRPr="00C967F4">
              <w:rPr>
                <w:rStyle w:val="BoldandItalics"/>
              </w:rPr>
              <w:tab/>
              <w:t>Tools and equipment</w:t>
            </w:r>
            <w:r w:rsidRPr="00C967F4">
              <w:t xml:space="preserve"> are selected and checked for serviceability</w:t>
            </w:r>
          </w:p>
          <w:p w:rsidR="00000000" w:rsidP="00C967F4">
            <w:pPr>
              <w:pStyle w:val="List"/>
              <w:rPr>
                <w:lang w:val="en-NZ"/>
              </w:rPr>
            </w:pPr>
            <w:r w:rsidRPr="00C967F4">
              <w:t>1.5</w:t>
            </w:r>
            <w:r w:rsidRPr="00C967F4">
              <w:tab/>
              <w:t>Work area is prepared and wo</w:t>
            </w:r>
            <w:r w:rsidRPr="00C967F4">
              <w:t>rk is planned to carry out TIG welding, minimise waste, and use time efficiently</w:t>
            </w:r>
          </w:p>
        </w:tc>
      </w:tr>
      <w:tr w:rsidTr="00C9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
              <w:rPr>
                <w:lang w:val="en-NZ"/>
              </w:rPr>
            </w:pPr>
            <w:r w:rsidRPr="00C967F4">
              <w:t>2.</w:t>
            </w:r>
            <w:r w:rsidRPr="00C967F4">
              <w:tab/>
              <w:t>Weld materials using TIG welder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
            </w:pPr>
            <w:r w:rsidRPr="00C967F4">
              <w:t>2.1</w:t>
            </w:r>
            <w:r w:rsidRPr="00C967F4">
              <w:tab/>
              <w:t xml:space="preserve">TIG welding equipment is prepared, set up and adjusted for specific welding job requirement </w:t>
            </w:r>
          </w:p>
          <w:p w:rsidR="00000000" w:rsidRPr="00C967F4" w:rsidP="00C967F4">
            <w:pPr>
              <w:pStyle w:val="List"/>
            </w:pPr>
            <w:r w:rsidRPr="00C967F4">
              <w:t>2.2</w:t>
            </w:r>
            <w:r w:rsidRPr="00C967F4">
              <w:tab/>
            </w:r>
            <w:r w:rsidRPr="00C967F4">
              <w:t xml:space="preserve">TIG welding equipment is used according to manufacturer operating procedures and </w:t>
            </w:r>
            <w:r w:rsidRPr="00C967F4">
              <w:rPr>
                <w:rStyle w:val="BoldandItalics"/>
              </w:rPr>
              <w:t>safety and environmental requirements</w:t>
            </w:r>
          </w:p>
          <w:p w:rsidR="00000000" w:rsidRPr="00C967F4" w:rsidP="00C967F4">
            <w:pPr>
              <w:pStyle w:val="List"/>
            </w:pPr>
            <w:r w:rsidRPr="00C967F4">
              <w:t>2.3</w:t>
            </w:r>
            <w:r w:rsidRPr="00C967F4">
              <w:tab/>
              <w:t>Weld test runs are conducted according to workplace instructions and weld specifications</w:t>
            </w:r>
          </w:p>
          <w:p w:rsidR="00000000" w:rsidP="00C967F4">
            <w:pPr>
              <w:pStyle w:val="List"/>
              <w:rPr>
                <w:lang w:val="en-NZ"/>
              </w:rPr>
            </w:pPr>
            <w:r w:rsidRPr="00C967F4">
              <w:t>2.4</w:t>
            </w:r>
            <w:r w:rsidRPr="00C967F4">
              <w:tab/>
              <w:t>Materials are welded using standard or i</w:t>
            </w:r>
            <w:r w:rsidRPr="00C967F4">
              <w:t>nverter TIG process to industry standards</w:t>
            </w:r>
          </w:p>
        </w:tc>
      </w:tr>
      <w:tr w:rsidTr="00C9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
              <w:rPr>
                <w:lang w:val="en-NZ"/>
              </w:rPr>
            </w:pPr>
            <w:r w:rsidRPr="00C967F4">
              <w:t>3.</w:t>
            </w:r>
            <w:r w:rsidRPr="00C967F4">
              <w:tab/>
              <w:t>Check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
            </w:pPr>
            <w:r w:rsidRPr="00C967F4">
              <w:t>3.1</w:t>
            </w:r>
            <w:r w:rsidRPr="00C967F4">
              <w:tab/>
              <w:t>Welds are cleaned using appropriate tools and techniques and according to workplace instructions</w:t>
            </w:r>
          </w:p>
          <w:p w:rsidR="00000000" w:rsidRPr="00C967F4" w:rsidP="00C967F4">
            <w:pPr>
              <w:pStyle w:val="List"/>
            </w:pPr>
            <w:r w:rsidRPr="00C967F4">
              <w:t>3.2</w:t>
            </w:r>
            <w:r w:rsidRPr="00C967F4">
              <w:tab/>
              <w:t>Weld specifications and quality requirements are checked and confirmed by non-destructive ins</w:t>
            </w:r>
            <w:r w:rsidRPr="00C967F4">
              <w:t>pection</w:t>
            </w:r>
          </w:p>
          <w:p w:rsidR="00000000" w:rsidP="00C967F4">
            <w:pPr>
              <w:pStyle w:val="List"/>
              <w:rPr>
                <w:lang w:val="en-NZ"/>
              </w:rPr>
            </w:pPr>
            <w:r w:rsidRPr="00C967F4">
              <w:t>3.3</w:t>
            </w:r>
            <w:r w:rsidRPr="00C967F4">
              <w:tab/>
              <w:t>Weld defects are identified, prepared for re-welding as required, and appropriate personnel are notified</w:t>
            </w:r>
          </w:p>
        </w:tc>
      </w:tr>
      <w:tr w:rsidTr="00C9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
              <w:rPr>
                <w:lang w:val="en-NZ"/>
              </w:rPr>
            </w:pPr>
            <w:r w:rsidRPr="00C967F4">
              <w:t>4.</w:t>
            </w:r>
            <w:r w:rsidRPr="00C967F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
            </w:pPr>
            <w:r w:rsidRPr="00C967F4">
              <w:t>4.1</w:t>
            </w:r>
            <w:r w:rsidRPr="00C967F4">
              <w:tab/>
              <w:t>Final inspection is made to ensure work meets workplace expectations and component is presented ready for u</w:t>
            </w:r>
            <w:r w:rsidRPr="00C967F4">
              <w:t>se</w:t>
            </w:r>
          </w:p>
          <w:p w:rsidR="00000000" w:rsidRPr="00C967F4" w:rsidP="00C967F4">
            <w:pPr>
              <w:pStyle w:val="List"/>
            </w:pPr>
            <w:r w:rsidRPr="00C967F4">
              <w:t>4.2</w:t>
            </w:r>
            <w:r w:rsidRPr="00C967F4">
              <w:tab/>
              <w:t>Work area is cleaned, waste and non-recyclable materials are disposed of, and recyclable material is collected and stored</w:t>
            </w:r>
          </w:p>
          <w:p w:rsidR="00000000" w:rsidRPr="00C967F4" w:rsidP="00C967F4">
            <w:pPr>
              <w:pStyle w:val="List"/>
            </w:pPr>
            <w:r w:rsidRPr="00C967F4">
              <w:t>4.3</w:t>
            </w:r>
            <w:r w:rsidRPr="00C967F4">
              <w:tab/>
              <w:t>Tools and equipment are checked, reported if faulty, and stored according to workplace procedures</w:t>
            </w:r>
          </w:p>
          <w:p w:rsidR="00000000" w:rsidRPr="00C967F4" w:rsidP="00C967F4">
            <w:pPr>
              <w:pStyle w:val="List"/>
            </w:pPr>
            <w:r w:rsidRPr="00C967F4">
              <w:t>4.4</w:t>
            </w:r>
            <w:r w:rsidRPr="00C967F4">
              <w:tab/>
              <w:t>Workplace documentati</w:t>
            </w:r>
            <w:r w:rsidRPr="00C967F4">
              <w:t>on is processed according to workplace procedures</w:t>
            </w:r>
          </w:p>
        </w:tc>
      </w:tr>
    </w:tbl>
    <w:p w:rsidR="00000000" w:rsidRPr="00C967F4" w:rsidP="00C967F4">
      <w:pPr>
        <w:pStyle w:val="BodyText"/>
      </w:pPr>
    </w:p>
    <w:p w:rsidR="00000000" w:rsidRPr="00C967F4" w:rsidP="00C967F4">
      <w:pPr>
        <w:pStyle w:val="AllowPageBreak"/>
      </w:pPr>
    </w:p>
    <w:p w:rsidR="00000000" w:rsidRPr="00C967F4" w:rsidP="00C967F4">
      <w:pPr>
        <w:pStyle w:val="Heading1"/>
      </w:pPr>
      <w:bookmarkStart w:id="6" w:name="O_807519"/>
      <w:bookmarkEnd w:id="6"/>
      <w:r w:rsidRPr="00C967F4">
        <w:t>Foundation Skills</w:t>
      </w:r>
    </w:p>
    <w:p w:rsidR="00000000" w:rsidRPr="00C967F4" w:rsidP="00797426">
      <w:pPr>
        <w:pStyle w:val="BodyText"/>
      </w:pPr>
      <w:r w:rsidRPr="00C967F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67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BodyText"/>
            </w:pPr>
            <w:r w:rsidRPr="00C967F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rPr>
                <w:rStyle w:val="SpecialBold"/>
              </w:rPr>
              <w:t>Description</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Bullet"/>
              <w:rPr>
                <w:lang w:val="en-NZ"/>
              </w:rPr>
            </w:pPr>
            <w:r w:rsidRPr="00C967F4">
              <w:t>locate appropriate sources of information efficiently.</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Bullet"/>
              <w:rPr>
                <w:lang w:val="en-NZ"/>
              </w:rPr>
            </w:pPr>
            <w:r w:rsidRPr="00C967F4">
              <w:t>legibly and accurately fill out workplace documentation.</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clarify instructions and procedures</w:t>
            </w:r>
          </w:p>
          <w:p w:rsidR="00000000" w:rsidP="00C967F4">
            <w:pPr>
              <w:pStyle w:val="ListBullet"/>
              <w:rPr>
                <w:lang w:val="en-NZ"/>
              </w:rPr>
            </w:pPr>
            <w:r w:rsidRPr="00C967F4">
              <w:t>clearly report quality issues and job outcomes.</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identify and set TIG welder settings</w:t>
            </w:r>
          </w:p>
          <w:p w:rsidR="00000000" w:rsidRPr="00C967F4" w:rsidP="00C967F4">
            <w:pPr>
              <w:pStyle w:val="ListBullet"/>
            </w:pPr>
            <w:r w:rsidRPr="00C967F4">
              <w:t>identify weld measurements from job requirements</w:t>
            </w:r>
          </w:p>
          <w:p w:rsidR="00000000" w:rsidP="00C967F4">
            <w:pPr>
              <w:pStyle w:val="ListBullet"/>
              <w:rPr>
                <w:lang w:val="en-NZ"/>
              </w:rPr>
            </w:pPr>
            <w:r w:rsidRPr="00C967F4">
              <w:t>measure material from specifications.</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Bullet"/>
              <w:rPr>
                <w:lang w:val="en-NZ"/>
              </w:rPr>
            </w:pPr>
            <w:r w:rsidRPr="00C967F4">
              <w:t>plan own work requirement</w:t>
            </w:r>
            <w:r w:rsidRPr="00C967F4">
              <w:t>s and prioritise actions to achieve required outcomes and ensure tasks are completed within workplace timeframes.</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ListBullet"/>
              <w:rPr>
                <w:lang w:val="en-NZ"/>
              </w:rPr>
            </w:pPr>
            <w:r w:rsidRPr="00C967F4">
              <w:t xml:space="preserve">identify defects, quality issues and potential problems associated with TIG welding processes and refer problems </w:t>
            </w:r>
            <w:r w:rsidRPr="00C967F4">
              <w:t>to appropriate person.</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use specialist TIG equipment.</w:t>
            </w:r>
          </w:p>
        </w:tc>
      </w:tr>
    </w:tbl>
    <w:p w:rsidR="00000000" w:rsidRPr="00C967F4" w:rsidP="00C967F4">
      <w:pPr>
        <w:pStyle w:val="BodyText"/>
      </w:pPr>
    </w:p>
    <w:p w:rsidR="00000000" w:rsidRPr="00C967F4" w:rsidP="00C967F4">
      <w:pPr>
        <w:pStyle w:val="AllowPageBreak"/>
      </w:pPr>
    </w:p>
    <w:p w:rsidR="00000000" w:rsidRPr="00C967F4" w:rsidP="00C967F4">
      <w:pPr>
        <w:pStyle w:val="Heading1"/>
      </w:pPr>
      <w:bookmarkStart w:id="7" w:name="O_807520"/>
      <w:bookmarkEnd w:id="7"/>
      <w:r w:rsidRPr="00C967F4">
        <w:t>Range of Conditions</w:t>
      </w:r>
    </w:p>
    <w:p w:rsidR="00000000" w:rsidRPr="00C967F4" w:rsidP="00797426">
      <w:pPr>
        <w:pStyle w:val="BodyText"/>
      </w:pPr>
      <w:r w:rsidRPr="00C967F4">
        <w:t xml:space="preserve">This section specifies work environments and conditions that may affect performance. Essential operating conditions that may </w:t>
      </w:r>
      <w:r w:rsidRPr="00C967F4">
        <w:t>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rPr>
                <w:rStyle w:val="BoldandItalics"/>
              </w:rPr>
              <w:t>Welding information</w:t>
            </w:r>
            <w:r w:rsidRPr="00C967F4">
              <w:t xml:space="preserve"> mu</w:t>
            </w:r>
            <w:r w:rsidRPr="00C967F4">
              <w:t>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manufacturer operating procedures</w:t>
            </w:r>
          </w:p>
          <w:p w:rsidR="00000000" w:rsidRPr="00C967F4" w:rsidP="00C967F4">
            <w:pPr>
              <w:pStyle w:val="ListBullet"/>
            </w:pPr>
            <w:r w:rsidRPr="00C967F4">
              <w:t>national standards and codes of practice for welding</w:t>
            </w:r>
          </w:p>
          <w:p w:rsidR="00000000" w:rsidP="00C967F4">
            <w:pPr>
              <w:pStyle w:val="ListBullet"/>
              <w:rPr>
                <w:lang w:val="en-NZ"/>
              </w:rPr>
            </w:pPr>
            <w:r w:rsidRPr="00C967F4">
              <w:t>workplace procedures.</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rPr>
                <w:rStyle w:val="BoldandItalics"/>
              </w:rPr>
              <w:t>Tools and equipment</w:t>
            </w:r>
            <w:r w:rsidRPr="00C967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standard and inverter TIG equipment</w:t>
            </w:r>
          </w:p>
          <w:p w:rsidR="00000000" w:rsidRPr="00C967F4" w:rsidP="00C967F4">
            <w:pPr>
              <w:pStyle w:val="ListBullet"/>
            </w:pPr>
            <w:r w:rsidRPr="00C967F4">
              <w:t>tungsten electrodes</w:t>
            </w:r>
          </w:p>
          <w:p w:rsidR="00000000" w:rsidRPr="00C967F4" w:rsidP="00C967F4">
            <w:pPr>
              <w:pStyle w:val="ListBullet"/>
            </w:pPr>
            <w:r w:rsidRPr="00C967F4">
              <w:t>pro</w:t>
            </w:r>
            <w:r w:rsidRPr="00C967F4">
              <w:t>tective screens and fume extraction system</w:t>
            </w:r>
          </w:p>
          <w:p w:rsidR="00000000" w:rsidRPr="00C967F4" w:rsidP="00C967F4">
            <w:pPr>
              <w:pStyle w:val="ListBullet"/>
            </w:pPr>
            <w:r w:rsidRPr="00C967F4">
              <w:t>shielding gas</w:t>
            </w:r>
          </w:p>
          <w:p w:rsidR="00000000" w:rsidRPr="00C967F4" w:rsidP="00C967F4">
            <w:pPr>
              <w:pStyle w:val="ListBullet"/>
            </w:pPr>
            <w:r w:rsidRPr="00C967F4">
              <w:t>filler rods</w:t>
            </w:r>
          </w:p>
          <w:p w:rsidR="00000000" w:rsidP="00C967F4">
            <w:pPr>
              <w:pStyle w:val="ListBullet"/>
              <w:rPr>
                <w:lang w:val="en-NZ"/>
              </w:rPr>
            </w:pPr>
            <w:r w:rsidRPr="00C967F4">
              <w:t>PPE, including approved welding helmets.</w:t>
            </w:r>
          </w:p>
        </w:tc>
      </w:tr>
      <w:tr w:rsidTr="00C9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7F4">
            <w:pPr>
              <w:pStyle w:val="BodyText"/>
              <w:rPr>
                <w:lang w:val="en-NZ"/>
              </w:rPr>
            </w:pPr>
            <w:r w:rsidRPr="00C967F4">
              <w:rPr>
                <w:rStyle w:val="BoldandItalics"/>
              </w:rPr>
              <w:t>Safety and environmental requirements</w:t>
            </w:r>
            <w:r w:rsidRPr="00C967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7F4" w:rsidP="00C967F4">
            <w:pPr>
              <w:pStyle w:val="ListBullet"/>
            </w:pPr>
            <w:r w:rsidRPr="00C967F4">
              <w:t>work health and safety (WHS), and occupational health and safety (OHS) requirements, includi</w:t>
            </w:r>
            <w:r w:rsidRPr="00C967F4">
              <w:t>ng procedures for:</w:t>
            </w:r>
          </w:p>
          <w:p w:rsidR="00000000" w:rsidRPr="00C967F4" w:rsidP="00C967F4">
            <w:pPr>
              <w:pStyle w:val="ListBullet2"/>
            </w:pPr>
            <w:r w:rsidRPr="00C967F4">
              <w:t>selecting and using PPE for TIG welding, including approved welding helmets</w:t>
            </w:r>
          </w:p>
          <w:p w:rsidR="00000000" w:rsidRPr="00C967F4" w:rsidP="00C967F4">
            <w:pPr>
              <w:pStyle w:val="ListBullet2"/>
            </w:pPr>
            <w:r w:rsidRPr="00C967F4">
              <w:t>using specialist welding tools and equipment</w:t>
            </w:r>
          </w:p>
          <w:p w:rsidR="00000000" w:rsidRPr="00C967F4" w:rsidP="00C967F4">
            <w:pPr>
              <w:pStyle w:val="ListBullet2"/>
            </w:pPr>
            <w:r w:rsidRPr="00C967F4">
              <w:t>using protective screens and fume extraction system</w:t>
            </w:r>
          </w:p>
          <w:p w:rsidR="00000000" w:rsidRPr="00C967F4" w:rsidP="00C967F4">
            <w:pPr>
              <w:pStyle w:val="ListBullet2"/>
            </w:pPr>
            <w:r w:rsidRPr="00C967F4">
              <w:t>manually handling vehicle components and TIG equipment</w:t>
            </w:r>
          </w:p>
          <w:p w:rsidR="00000000" w:rsidRPr="00C967F4" w:rsidP="00C967F4">
            <w:pPr>
              <w:pStyle w:val="ListBullet2"/>
            </w:pPr>
            <w:r w:rsidRPr="00C967F4">
              <w:t>identifying and controlling hazards</w:t>
            </w:r>
          </w:p>
          <w:p w:rsidR="00000000" w:rsidRPr="00C967F4" w:rsidP="00C967F4">
            <w:pPr>
              <w:pStyle w:val="ListBullet"/>
            </w:pPr>
            <w:r w:rsidRPr="00C967F4">
              <w:t>environmental requirements, including procedures for trapping, storing and disposing of waste materials.</w:t>
            </w:r>
          </w:p>
        </w:tc>
      </w:tr>
    </w:tbl>
    <w:p w:rsidR="00000000" w:rsidRPr="00C967F4" w:rsidP="00C967F4">
      <w:pPr>
        <w:pStyle w:val="BodyText"/>
      </w:pPr>
    </w:p>
    <w:p w:rsidR="00000000" w:rsidRPr="00C967F4" w:rsidP="00C967F4">
      <w:pPr>
        <w:pStyle w:val="AllowPageBreak"/>
      </w:pPr>
    </w:p>
    <w:p w:rsidR="00000000" w:rsidRPr="00C967F4" w:rsidP="00C967F4">
      <w:pPr>
        <w:pStyle w:val="Heading1"/>
      </w:pPr>
      <w:bookmarkStart w:id="8" w:name="O_807521"/>
      <w:bookmarkEnd w:id="8"/>
      <w:r w:rsidRPr="00C967F4">
        <w:t>Unit Mapping Information</w:t>
      </w:r>
    </w:p>
    <w:p w:rsidR="00000000" w:rsidRPr="00C967F4" w:rsidP="00797426">
      <w:pPr>
        <w:pStyle w:val="BodyText"/>
      </w:pPr>
      <w:r w:rsidRPr="00C967F4">
        <w:t>Equivalent to AURVTW2004 Carry out gas tungsten arc welding procedures</w:t>
      </w:r>
    </w:p>
    <w:p w:rsidR="00000000" w:rsidRPr="00C967F4" w:rsidP="00C967F4">
      <w:pPr>
        <w:pStyle w:val="Heading1"/>
      </w:pPr>
      <w:bookmarkStart w:id="9" w:name="O_807528"/>
      <w:bookmarkEnd w:id="9"/>
      <w:r w:rsidRPr="00C967F4">
        <w:t>Links</w:t>
      </w:r>
    </w:p>
    <w:p w:rsidR="00000000" w:rsidRPr="00C967F4" w:rsidP="00797426">
      <w:pPr>
        <w:pStyle w:val="BodyText"/>
      </w:pPr>
      <w:r w:rsidRPr="00C967F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03F9">
        <w:rPr>
          <w:rStyle w:val="Hyperlink"/>
        </w:rPr>
        <w:t>https://vetnet.gov.au/Pages/TrainingDocs.aspx?q=b4278d82-d487-4070-a8c4-78045ec695b1</w:t>
      </w:r>
      <w:r>
        <w:fldChar w:fldCharType="end"/>
      </w:r>
    </w:p>
    <w:p w:rsidR="00000000" w:rsidRPr="00C967F4" w:rsidP="00C967F4"/>
    <w:sectPr w:rsidSect="00C967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F4" w:rsidRPr="00797426" w:rsidP="00797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26" w:rsidP="00C96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426" w:rsidP="00C967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7426" w:rsidP="00C96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7F4" w:rsidRPr="00797426" w:rsidP="00797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26" w:rsidRPr="002D2AF8" w:rsidP="00C967F4">
    <w:pPr>
      <w:pStyle w:val="Header"/>
      <w:framePr w:wrap="around"/>
    </w:pPr>
    <w:r>
      <w:fldChar w:fldCharType="begin"/>
    </w:r>
    <w:r>
      <w:instrText xml:space="preserve"> TITLE   \* MERGEFORMAT </w:instrText>
    </w:r>
    <w:r>
      <w:fldChar w:fldCharType="separate"/>
    </w:r>
    <w:r>
      <w:t>AURVTW004 Carry out tungsten inert gas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797426" w:rsidP="00C96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CB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68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C5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7F4"/>
    <w:pPr>
      <w:spacing w:before="360" w:after="60"/>
      <w:outlineLvl w:val="0"/>
    </w:pPr>
    <w:rPr>
      <w:sz w:val="32"/>
    </w:rPr>
  </w:style>
  <w:style w:type="paragraph" w:styleId="Heading2">
    <w:name w:val="heading 2"/>
    <w:basedOn w:val="HeadingBase"/>
    <w:next w:val="BodyText"/>
    <w:link w:val="Heading2Char"/>
    <w:qFormat/>
    <w:rsid w:val="00C967F4"/>
    <w:pPr>
      <w:keepLines/>
      <w:spacing w:before="240" w:after="120"/>
      <w:outlineLvl w:val="1"/>
    </w:pPr>
    <w:rPr>
      <w:sz w:val="28"/>
      <w:szCs w:val="40"/>
    </w:rPr>
  </w:style>
  <w:style w:type="paragraph" w:styleId="Heading3">
    <w:name w:val="heading 3"/>
    <w:basedOn w:val="HeadingBase"/>
    <w:next w:val="BodyText"/>
    <w:link w:val="Heading3Char"/>
    <w:qFormat/>
    <w:rsid w:val="00C967F4"/>
    <w:pPr>
      <w:spacing w:before="180" w:after="120"/>
      <w:outlineLvl w:val="2"/>
    </w:pPr>
    <w:rPr>
      <w:spacing w:val="-10"/>
      <w:kern w:val="32"/>
    </w:rPr>
  </w:style>
  <w:style w:type="paragraph" w:styleId="Heading4">
    <w:name w:val="heading 4"/>
    <w:basedOn w:val="HeadingBase"/>
    <w:next w:val="BodyText"/>
    <w:link w:val="Heading4Char"/>
    <w:qFormat/>
    <w:rsid w:val="00C967F4"/>
    <w:pPr>
      <w:spacing w:before="160" w:after="120"/>
      <w:outlineLvl w:val="3"/>
    </w:pPr>
    <w:rPr>
      <w:sz w:val="22"/>
    </w:rPr>
  </w:style>
  <w:style w:type="paragraph" w:styleId="Heading5">
    <w:name w:val="heading 5"/>
    <w:basedOn w:val="HeadingBase"/>
    <w:next w:val="Normal"/>
    <w:link w:val="Heading5Char"/>
    <w:qFormat/>
    <w:rsid w:val="00C967F4"/>
    <w:pPr>
      <w:spacing w:before="80"/>
      <w:outlineLvl w:val="4"/>
    </w:pPr>
    <w:rPr>
      <w:color w:val="918585"/>
      <w:sz w:val="20"/>
    </w:rPr>
  </w:style>
  <w:style w:type="paragraph" w:styleId="Heading6">
    <w:name w:val="heading 6"/>
    <w:basedOn w:val="HeadingBase"/>
    <w:next w:val="Normal"/>
    <w:link w:val="Heading6Char"/>
    <w:qFormat/>
    <w:rsid w:val="00C967F4"/>
    <w:pPr>
      <w:spacing w:before="60"/>
      <w:outlineLvl w:val="5"/>
    </w:pPr>
    <w:rPr>
      <w:color w:val="918585"/>
      <w:sz w:val="20"/>
    </w:rPr>
  </w:style>
  <w:style w:type="paragraph" w:styleId="Heading7">
    <w:name w:val="heading 7"/>
    <w:basedOn w:val="Normal"/>
    <w:next w:val="Normal"/>
    <w:link w:val="Heading7Char"/>
    <w:qFormat/>
    <w:rsid w:val="00C967F4"/>
    <w:pPr>
      <w:ind w:left="720"/>
      <w:outlineLvl w:val="6"/>
    </w:pPr>
    <w:rPr>
      <w:i/>
    </w:rPr>
  </w:style>
  <w:style w:type="paragraph" w:styleId="Heading8">
    <w:name w:val="heading 8"/>
    <w:basedOn w:val="Normal"/>
    <w:next w:val="Normal"/>
    <w:link w:val="Heading8Char"/>
    <w:qFormat/>
    <w:rsid w:val="00C967F4"/>
    <w:pPr>
      <w:ind w:left="720"/>
      <w:outlineLvl w:val="7"/>
    </w:pPr>
    <w:rPr>
      <w:i/>
    </w:rPr>
  </w:style>
  <w:style w:type="paragraph" w:styleId="Heading9">
    <w:name w:val="heading 9"/>
    <w:basedOn w:val="Normal"/>
    <w:next w:val="Normal"/>
    <w:link w:val="Heading9Char"/>
    <w:qFormat/>
    <w:rsid w:val="00C967F4"/>
    <w:pPr>
      <w:ind w:left="720"/>
      <w:outlineLvl w:val="8"/>
    </w:pPr>
    <w:rPr>
      <w:i/>
    </w:rPr>
  </w:style>
  <w:style w:type="character" w:default="1" w:styleId="DefaultParagraphFont">
    <w:name w:val="Default Paragraph Font"/>
    <w:uiPriority w:val="1"/>
    <w:unhideWhenUsed/>
    <w:rsid w:val="00C96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7F4"/>
  </w:style>
  <w:style w:type="character" w:customStyle="1" w:styleId="Heading1Char">
    <w:name w:val="Heading 1 Char"/>
    <w:basedOn w:val="DefaultParagraphFont"/>
    <w:link w:val="Heading1"/>
    <w:rsid w:val="00C967F4"/>
    <w:rPr>
      <w:rFonts w:ascii="Times New Roman" w:eastAsia="Times New Roman" w:hAnsi="Times New Roman" w:cs="Times New Roman"/>
      <w:b/>
      <w:sz w:val="32"/>
      <w:szCs w:val="20"/>
      <w:lang w:eastAsia="en-US"/>
    </w:rPr>
  </w:style>
  <w:style w:type="paragraph" w:styleId="BodyText">
    <w:name w:val="Body Text"/>
    <w:basedOn w:val="Normal"/>
    <w:link w:val="BodyTextChar"/>
    <w:rsid w:val="00C96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7F4"/>
    <w:rPr>
      <w:rFonts w:ascii="Times New Roman" w:eastAsia="Times New Roman" w:hAnsi="Times New Roman" w:cs="Times New Roman"/>
      <w:sz w:val="24"/>
      <w:lang w:eastAsia="en-US"/>
    </w:rPr>
  </w:style>
  <w:style w:type="paragraph" w:styleId="List">
    <w:name w:val="List"/>
    <w:basedOn w:val="BodyText"/>
    <w:next w:val="BodyText"/>
    <w:rsid w:val="00C967F4"/>
    <w:pPr>
      <w:tabs>
        <w:tab w:val="left" w:pos="340"/>
      </w:tabs>
      <w:spacing w:before="60" w:after="60"/>
      <w:ind w:left="340" w:hanging="340"/>
    </w:pPr>
  </w:style>
  <w:style w:type="paragraph" w:styleId="ListBullet">
    <w:name w:val="List Bullet"/>
    <w:basedOn w:val="List"/>
    <w:rsid w:val="00C967F4"/>
    <w:pPr>
      <w:numPr>
        <w:numId w:val="12"/>
      </w:numPr>
      <w:tabs>
        <w:tab w:val="clear" w:pos="340"/>
      </w:tabs>
      <w:spacing w:before="40" w:after="40"/>
    </w:pPr>
  </w:style>
  <w:style w:type="character" w:customStyle="1" w:styleId="SpecialBold">
    <w:name w:val="Special Bold"/>
    <w:basedOn w:val="DefaultParagraphFont"/>
    <w:rsid w:val="00C967F4"/>
    <w:rPr>
      <w:b/>
      <w:spacing w:val="0"/>
    </w:rPr>
  </w:style>
  <w:style w:type="paragraph" w:styleId="ListBullet2">
    <w:name w:val="List Bullet 2"/>
    <w:basedOn w:val="List2"/>
    <w:rsid w:val="00C967F4"/>
    <w:pPr>
      <w:numPr>
        <w:numId w:val="13"/>
      </w:numPr>
      <w:tabs>
        <w:tab w:val="clear" w:pos="680"/>
      </w:tabs>
    </w:pPr>
  </w:style>
  <w:style w:type="paragraph" w:customStyle="1" w:styleId="SuperHeading">
    <w:name w:val="SuperHeading"/>
    <w:basedOn w:val="Normal"/>
    <w:rsid w:val="00C967F4"/>
    <w:pPr>
      <w:spacing w:before="240" w:after="120"/>
      <w:outlineLvl w:val="0"/>
    </w:pPr>
    <w:rPr>
      <w:rFonts w:ascii="Times New Roman" w:hAnsi="Times New Roman"/>
      <w:b/>
      <w:sz w:val="32"/>
    </w:rPr>
  </w:style>
  <w:style w:type="paragraph" w:customStyle="1" w:styleId="AllowPageBreak">
    <w:name w:val="AllowPageBreak"/>
    <w:rsid w:val="00C96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67F4"/>
    <w:rPr>
      <w:b/>
      <w:i/>
      <w:u w:val="none"/>
    </w:rPr>
  </w:style>
  <w:style w:type="character" w:customStyle="1" w:styleId="Heading2Char">
    <w:name w:val="Heading 2 Char"/>
    <w:basedOn w:val="DefaultParagraphFont"/>
    <w:link w:val="Heading2"/>
    <w:rsid w:val="00C96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7F4"/>
    <w:rPr>
      <w:rFonts w:ascii="Courier New" w:eastAsia="Times New Roman" w:hAnsi="Courier New" w:cs="Times New Roman"/>
      <w:i/>
      <w:szCs w:val="20"/>
      <w:lang w:eastAsia="en-US"/>
    </w:rPr>
  </w:style>
  <w:style w:type="paragraph" w:customStyle="1" w:styleId="HeadingBase">
    <w:name w:val="Heading Base"/>
    <w:rsid w:val="00C96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7F4"/>
    <w:pPr>
      <w:tabs>
        <w:tab w:val="right" w:leader="dot" w:pos="9072"/>
      </w:tabs>
      <w:ind w:left="567"/>
    </w:pPr>
    <w:rPr>
      <w:szCs w:val="22"/>
    </w:rPr>
  </w:style>
  <w:style w:type="paragraph" w:customStyle="1" w:styleId="TOCBase">
    <w:name w:val="TOC Base"/>
    <w:rsid w:val="00C96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7F4"/>
    <w:pPr>
      <w:tabs>
        <w:tab w:val="right" w:leader="dot" w:pos="9072"/>
      </w:tabs>
      <w:spacing w:before="40" w:after="40"/>
      <w:ind w:left="284"/>
    </w:pPr>
    <w:rPr>
      <w:rFonts w:ascii="Times New Roman" w:hAnsi="Times New Roman"/>
    </w:rPr>
  </w:style>
  <w:style w:type="paragraph" w:styleId="TOC1">
    <w:name w:val="toc 1"/>
    <w:basedOn w:val="TOCBase"/>
    <w:next w:val="Normal"/>
    <w:rsid w:val="00C96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7F4"/>
    <w:rPr>
      <w:rFonts w:ascii="Times New Roman" w:eastAsia="Times New Roman" w:hAnsi="Times New Roman" w:cs="Times New Roman"/>
      <w:sz w:val="16"/>
      <w:lang w:eastAsia="en-US"/>
    </w:rPr>
  </w:style>
  <w:style w:type="paragraph" w:styleId="Title">
    <w:name w:val="Title"/>
    <w:basedOn w:val="HeadingBase"/>
    <w:link w:val="TitleChar"/>
    <w:qFormat/>
    <w:rsid w:val="00C967F4"/>
    <w:pPr>
      <w:spacing w:before="5040"/>
      <w:jc w:val="center"/>
    </w:pPr>
    <w:rPr>
      <w:sz w:val="48"/>
      <w:szCs w:val="72"/>
      <w:lang w:val="en-US"/>
    </w:rPr>
  </w:style>
  <w:style w:type="character" w:customStyle="1" w:styleId="TitleChar">
    <w:name w:val="Title Char"/>
    <w:basedOn w:val="DefaultParagraphFont"/>
    <w:link w:val="Title"/>
    <w:rsid w:val="00C96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7F4"/>
    <w:pPr>
      <w:tabs>
        <w:tab w:val="left" w:pos="3600"/>
        <w:tab w:val="left" w:pos="3958"/>
      </w:tabs>
    </w:pPr>
  </w:style>
  <w:style w:type="paragraph" w:customStyle="1" w:styleId="Note">
    <w:name w:val="Note"/>
    <w:basedOn w:val="BodyText"/>
    <w:rsid w:val="00C96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7F4"/>
    <w:pPr>
      <w:framePr w:wrap="auto" w:hAnchor="text" w:y="6049"/>
    </w:pPr>
    <w:rPr>
      <w:color w:val="000000"/>
      <w:sz w:val="40"/>
    </w:rPr>
  </w:style>
  <w:style w:type="paragraph" w:customStyle="1" w:styleId="TOCTitle">
    <w:name w:val="TOCTitle"/>
    <w:basedOn w:val="Heading1"/>
    <w:rsid w:val="00C967F4"/>
    <w:pPr>
      <w:spacing w:after="240"/>
      <w:jc w:val="center"/>
      <w:outlineLvl w:val="9"/>
    </w:pPr>
    <w:rPr>
      <w:caps/>
    </w:rPr>
  </w:style>
  <w:style w:type="paragraph" w:customStyle="1" w:styleId="Version">
    <w:name w:val="Version"/>
    <w:rsid w:val="00C96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7F4"/>
    <w:pPr>
      <w:keepNext w:val="0"/>
      <w:tabs>
        <w:tab w:val="right" w:pos="4176"/>
      </w:tabs>
      <w:ind w:left="198" w:hanging="198"/>
    </w:pPr>
    <w:rPr>
      <w:rFonts w:ascii="Garamond" w:hAnsi="Garamond"/>
    </w:rPr>
  </w:style>
  <w:style w:type="paragraph" w:styleId="IndexHeading">
    <w:name w:val="index heading"/>
    <w:basedOn w:val="Normal"/>
    <w:next w:val="Index1"/>
    <w:semiHidden/>
    <w:rsid w:val="00C967F4"/>
    <w:pPr>
      <w:spacing w:before="120" w:after="120"/>
    </w:pPr>
    <w:rPr>
      <w:rFonts w:ascii="Arial" w:hAnsi="Arial"/>
      <w:b/>
      <w:color w:val="918585"/>
      <w:sz w:val="24"/>
    </w:rPr>
  </w:style>
  <w:style w:type="paragraph" w:styleId="Header">
    <w:name w:val="header"/>
    <w:basedOn w:val="Normal"/>
    <w:link w:val="HeaderChar"/>
    <w:rsid w:val="00C96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7F4"/>
    <w:rPr>
      <w:rFonts w:ascii="Times New Roman" w:eastAsia="Times New Roman" w:hAnsi="Times New Roman" w:cs="Times New Roman"/>
      <w:sz w:val="16"/>
      <w:szCs w:val="20"/>
      <w:lang w:val="en-GB" w:eastAsia="en-US"/>
    </w:rPr>
  </w:style>
  <w:style w:type="paragraph" w:customStyle="1" w:styleId="Chapter">
    <w:name w:val="Chapter"/>
    <w:basedOn w:val="Normal"/>
    <w:rsid w:val="00C967F4"/>
    <w:pPr>
      <w:spacing w:before="240"/>
    </w:pPr>
    <w:rPr>
      <w:rFonts w:ascii="Times New Roman" w:hAnsi="Times New Roman"/>
      <w:smallCaps/>
      <w:spacing w:val="80"/>
      <w:sz w:val="28"/>
    </w:rPr>
  </w:style>
  <w:style w:type="paragraph" w:customStyle="1" w:styleId="InChapter">
    <w:name w:val="InChapter"/>
    <w:basedOn w:val="Heading3"/>
    <w:rsid w:val="00C967F4"/>
    <w:pPr>
      <w:spacing w:after="240"/>
      <w:outlineLvl w:val="9"/>
    </w:pPr>
    <w:rPr>
      <w:noProof/>
    </w:rPr>
  </w:style>
  <w:style w:type="paragraph" w:styleId="Index2">
    <w:name w:val="index 2"/>
    <w:basedOn w:val="Normal"/>
    <w:next w:val="Normal"/>
    <w:semiHidden/>
    <w:rsid w:val="00C967F4"/>
    <w:pPr>
      <w:tabs>
        <w:tab w:val="right" w:pos="4176"/>
      </w:tabs>
      <w:ind w:left="568" w:hanging="284"/>
    </w:pPr>
    <w:rPr>
      <w:rFonts w:ascii="Garamond" w:hAnsi="Garamond"/>
    </w:rPr>
  </w:style>
  <w:style w:type="paragraph" w:customStyle="1" w:styleId="Byline">
    <w:name w:val="Byline"/>
    <w:rsid w:val="00C96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7F4"/>
    <w:pPr>
      <w:tabs>
        <w:tab w:val="clear" w:pos="3600"/>
        <w:tab w:val="clear" w:pos="3958"/>
      </w:tabs>
      <w:jc w:val="right"/>
    </w:pPr>
  </w:style>
  <w:style w:type="character" w:styleId="Emphasis">
    <w:name w:val="Emphasis"/>
    <w:basedOn w:val="DefaultParagraphFont"/>
    <w:qFormat/>
    <w:rsid w:val="00C967F4"/>
    <w:rPr>
      <w:i/>
    </w:rPr>
  </w:style>
  <w:style w:type="paragraph" w:styleId="Caption">
    <w:name w:val="caption"/>
    <w:basedOn w:val="BodyText"/>
    <w:next w:val="Normal"/>
    <w:qFormat/>
    <w:rsid w:val="00C967F4"/>
    <w:pPr>
      <w:framePr w:w="2268" w:hSpace="181" w:vSpace="181" w:wrap="around" w:vAnchor="text" w:hAnchor="page" w:x="1135" w:y="285" w:anchorLock="1"/>
    </w:pPr>
    <w:rPr>
      <w:i/>
    </w:rPr>
  </w:style>
  <w:style w:type="paragraph" w:customStyle="1" w:styleId="MiniTOCTitle">
    <w:name w:val="MiniTOCTitle"/>
    <w:basedOn w:val="Heading4"/>
    <w:rsid w:val="00C967F4"/>
    <w:pPr>
      <w:spacing w:before="240"/>
      <w:outlineLvl w:val="9"/>
    </w:pPr>
    <w:rPr>
      <w:noProof/>
      <w:sz w:val="24"/>
    </w:rPr>
  </w:style>
  <w:style w:type="paragraph" w:customStyle="1" w:styleId="MiniTOCItem">
    <w:name w:val="MiniTOCItem"/>
    <w:basedOn w:val="ListBullet"/>
    <w:rsid w:val="00C967F4"/>
    <w:pPr>
      <w:numPr>
        <w:numId w:val="0"/>
      </w:numPr>
      <w:tabs>
        <w:tab w:val="right" w:leader="dot" w:pos="6521"/>
      </w:tabs>
      <w:spacing w:before="0" w:after="0"/>
    </w:pPr>
  </w:style>
  <w:style w:type="paragraph" w:customStyle="1" w:styleId="TOFTitle">
    <w:name w:val="TOFTitle"/>
    <w:basedOn w:val="TOCTitle"/>
    <w:rsid w:val="00C967F4"/>
  </w:style>
  <w:style w:type="paragraph" w:styleId="TableofFigures">
    <w:name w:val="table of figures"/>
    <w:basedOn w:val="Normal"/>
    <w:next w:val="Normal"/>
    <w:semiHidden/>
    <w:rsid w:val="00C967F4"/>
    <w:pPr>
      <w:tabs>
        <w:tab w:val="right" w:leader="dot" w:pos="9072"/>
      </w:tabs>
      <w:ind w:left="970" w:hanging="403"/>
    </w:pPr>
    <w:rPr>
      <w:rFonts w:ascii="Times New Roman" w:hAnsi="Times New Roman"/>
      <w:b/>
    </w:rPr>
  </w:style>
  <w:style w:type="paragraph" w:styleId="ListNumber">
    <w:name w:val="List Number"/>
    <w:basedOn w:val="List"/>
    <w:rsid w:val="00C967F4"/>
    <w:pPr>
      <w:numPr>
        <w:numId w:val="15"/>
      </w:numPr>
      <w:tabs>
        <w:tab w:val="clear" w:pos="340"/>
      </w:tabs>
    </w:pPr>
  </w:style>
  <w:style w:type="character" w:customStyle="1" w:styleId="WingdingSymbols">
    <w:name w:val="Wingding Symbols"/>
    <w:rsid w:val="00C967F4"/>
    <w:rPr>
      <w:rFonts w:ascii="Wingdings" w:hAnsi="Wingdings"/>
    </w:rPr>
  </w:style>
  <w:style w:type="paragraph" w:customStyle="1" w:styleId="TableHeading">
    <w:name w:val="Table Heading"/>
    <w:basedOn w:val="HeadingBase"/>
    <w:rsid w:val="00C967F4"/>
    <w:pPr>
      <w:keepLines/>
      <w:pBdr>
        <w:bottom w:val="single" w:sz="6" w:space="1" w:color="918585"/>
      </w:pBdr>
      <w:spacing w:before="240"/>
    </w:pPr>
  </w:style>
  <w:style w:type="character" w:customStyle="1" w:styleId="HotSpot">
    <w:name w:val="HotSpot"/>
    <w:rsid w:val="00C967F4"/>
    <w:rPr>
      <w:color w:val="0033CC"/>
      <w:u w:val="none"/>
    </w:rPr>
  </w:style>
  <w:style w:type="paragraph" w:customStyle="1" w:styleId="BodyTextRight">
    <w:name w:val="Body Text Right"/>
    <w:basedOn w:val="BodyText"/>
    <w:rsid w:val="00C967F4"/>
    <w:pPr>
      <w:spacing w:before="0" w:after="0"/>
      <w:jc w:val="right"/>
    </w:pPr>
  </w:style>
  <w:style w:type="paragraph" w:styleId="Index3">
    <w:name w:val="index 3"/>
    <w:basedOn w:val="ListNumber2"/>
    <w:next w:val="Normal"/>
    <w:semiHidden/>
    <w:rsid w:val="00C967F4"/>
    <w:pPr>
      <w:numPr>
        <w:numId w:val="0"/>
      </w:numPr>
      <w:tabs>
        <w:tab w:val="right" w:leader="dot" w:pos="4176"/>
      </w:tabs>
    </w:pPr>
  </w:style>
  <w:style w:type="paragraph" w:styleId="ListNumber2">
    <w:name w:val="List Number 2"/>
    <w:basedOn w:val="List2"/>
    <w:rsid w:val="00C967F4"/>
    <w:pPr>
      <w:numPr>
        <w:numId w:val="10"/>
      </w:numPr>
      <w:tabs>
        <w:tab w:val="clear" w:pos="1060"/>
      </w:tabs>
    </w:pPr>
  </w:style>
  <w:style w:type="paragraph" w:customStyle="1" w:styleId="MarginNote">
    <w:name w:val="Margin Note"/>
    <w:basedOn w:val="BodyText"/>
    <w:rsid w:val="00C96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7F4"/>
    <w:rPr>
      <w:sz w:val="32"/>
    </w:rPr>
  </w:style>
  <w:style w:type="paragraph" w:customStyle="1" w:styleId="HeadingProcedure">
    <w:name w:val="Heading Procedure"/>
    <w:basedOn w:val="HeadingBase"/>
    <w:next w:val="Normal"/>
    <w:rsid w:val="00C967F4"/>
    <w:pPr>
      <w:tabs>
        <w:tab w:val="left" w:pos="0"/>
      </w:tabs>
      <w:spacing w:before="120" w:after="60"/>
    </w:pPr>
    <w:rPr>
      <w:i/>
      <w:color w:val="918585"/>
      <w:sz w:val="22"/>
    </w:rPr>
  </w:style>
  <w:style w:type="paragraph" w:customStyle="1" w:styleId="TableBodyText">
    <w:name w:val="Table Body Text"/>
    <w:basedOn w:val="BodyText"/>
    <w:rsid w:val="00C967F4"/>
    <w:pPr>
      <w:spacing w:before="60" w:after="60"/>
    </w:pPr>
  </w:style>
  <w:style w:type="paragraph" w:styleId="ListContinue">
    <w:name w:val="List Continue"/>
    <w:basedOn w:val="List"/>
    <w:rsid w:val="00C967F4"/>
    <w:pPr>
      <w:ind w:firstLine="0"/>
    </w:pPr>
  </w:style>
  <w:style w:type="paragraph" w:customStyle="1" w:styleId="ListNote">
    <w:name w:val="List Note"/>
    <w:basedOn w:val="List"/>
    <w:rsid w:val="00C967F4"/>
    <w:pPr>
      <w:pBdr>
        <w:top w:val="single" w:sz="6" w:space="2" w:color="918585"/>
        <w:bottom w:val="single" w:sz="6" w:space="2" w:color="918585"/>
      </w:pBdr>
      <w:tabs>
        <w:tab w:val="left" w:pos="1021"/>
      </w:tabs>
      <w:ind w:firstLine="0"/>
    </w:pPr>
  </w:style>
  <w:style w:type="paragraph" w:customStyle="1" w:styleId="Warning">
    <w:name w:val="Warning"/>
    <w:basedOn w:val="BodyText"/>
    <w:rsid w:val="00C967F4"/>
    <w:pPr>
      <w:shd w:val="clear" w:color="auto" w:fill="D9D9D9"/>
      <w:tabs>
        <w:tab w:val="left" w:pos="992"/>
      </w:tabs>
      <w:ind w:left="119" w:right="119"/>
    </w:pPr>
    <w:rPr>
      <w:sz w:val="20"/>
    </w:rPr>
  </w:style>
  <w:style w:type="paragraph" w:customStyle="1" w:styleId="MarginIcons">
    <w:name w:val="Margin Icons"/>
    <w:basedOn w:val="BodyText"/>
    <w:rsid w:val="00C96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7F4"/>
    <w:rPr>
      <w:rFonts w:ascii="Courier New" w:hAnsi="Courier New"/>
    </w:rPr>
  </w:style>
  <w:style w:type="paragraph" w:customStyle="1" w:styleId="NoteBullet">
    <w:name w:val="Note Bullet"/>
    <w:basedOn w:val="Note"/>
    <w:rsid w:val="00C967F4"/>
    <w:pPr>
      <w:tabs>
        <w:tab w:val="clear" w:pos="680"/>
      </w:tabs>
      <w:spacing w:before="60" w:after="60"/>
    </w:pPr>
  </w:style>
  <w:style w:type="paragraph" w:customStyle="1" w:styleId="SubHeading2">
    <w:name w:val="SubHeading2"/>
    <w:basedOn w:val="HeadingBase"/>
    <w:rsid w:val="00C967F4"/>
    <w:pPr>
      <w:spacing w:before="240" w:after="60"/>
    </w:pPr>
    <w:rPr>
      <w:sz w:val="20"/>
    </w:rPr>
  </w:style>
  <w:style w:type="paragraph" w:customStyle="1" w:styleId="SubHeading1">
    <w:name w:val="SubHeading1"/>
    <w:basedOn w:val="HeadingBase"/>
    <w:rsid w:val="00C967F4"/>
    <w:pPr>
      <w:spacing w:before="240" w:after="60"/>
    </w:pPr>
    <w:rPr>
      <w:color w:val="918585"/>
      <w:sz w:val="22"/>
    </w:rPr>
  </w:style>
  <w:style w:type="paragraph" w:customStyle="1" w:styleId="SideHeading">
    <w:name w:val="Side Heading"/>
    <w:basedOn w:val="HeadingBase"/>
    <w:rsid w:val="00C96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7F4"/>
    <w:pPr>
      <w:tabs>
        <w:tab w:val="num" w:pos="360"/>
      </w:tabs>
    </w:pPr>
  </w:style>
  <w:style w:type="paragraph" w:styleId="PlainText">
    <w:name w:val="Plain Text"/>
    <w:basedOn w:val="Normal"/>
    <w:link w:val="PlainTextChar"/>
    <w:rsid w:val="00C967F4"/>
    <w:rPr>
      <w:sz w:val="20"/>
    </w:rPr>
  </w:style>
  <w:style w:type="character" w:customStyle="1" w:styleId="PlainTextChar">
    <w:name w:val="Plain Text Char"/>
    <w:basedOn w:val="DefaultParagraphFont"/>
    <w:link w:val="PlainText"/>
    <w:rsid w:val="00C967F4"/>
    <w:rPr>
      <w:rFonts w:ascii="Courier New" w:eastAsia="Times New Roman" w:hAnsi="Courier New" w:cs="Times New Roman"/>
      <w:sz w:val="20"/>
      <w:szCs w:val="20"/>
      <w:lang w:eastAsia="en-US"/>
    </w:rPr>
  </w:style>
  <w:style w:type="character" w:customStyle="1" w:styleId="MenuOption">
    <w:name w:val="Menu Option"/>
    <w:basedOn w:val="DefaultParagraphFont"/>
    <w:rsid w:val="00C967F4"/>
    <w:rPr>
      <w:b/>
      <w:smallCaps/>
    </w:rPr>
  </w:style>
  <w:style w:type="paragraph" w:customStyle="1" w:styleId="TableListNumber">
    <w:name w:val="Table List Number"/>
    <w:basedOn w:val="ListNumber"/>
    <w:rsid w:val="00C967F4"/>
    <w:pPr>
      <w:numPr>
        <w:numId w:val="0"/>
      </w:numPr>
    </w:pPr>
  </w:style>
  <w:style w:type="paragraph" w:styleId="TOC4">
    <w:name w:val="toc 4"/>
    <w:basedOn w:val="TOCBase"/>
    <w:next w:val="Normal"/>
    <w:semiHidden/>
    <w:rsid w:val="00C967F4"/>
    <w:pPr>
      <w:tabs>
        <w:tab w:val="right" w:leader="dot" w:pos="9071"/>
      </w:tabs>
      <w:ind w:left="1701"/>
    </w:pPr>
  </w:style>
  <w:style w:type="paragraph" w:customStyle="1" w:styleId="ListAlpha">
    <w:name w:val="List Alpha"/>
    <w:basedOn w:val="List"/>
    <w:rsid w:val="00C967F4"/>
    <w:pPr>
      <w:numPr>
        <w:numId w:val="9"/>
      </w:numPr>
    </w:pPr>
  </w:style>
  <w:style w:type="paragraph" w:customStyle="1" w:styleId="ListAlpha2">
    <w:name w:val="List Alpha 2"/>
    <w:basedOn w:val="List2"/>
    <w:rsid w:val="00C967F4"/>
    <w:pPr>
      <w:numPr>
        <w:numId w:val="8"/>
      </w:numPr>
    </w:pPr>
  </w:style>
  <w:style w:type="paragraph" w:styleId="List2">
    <w:name w:val="List 2"/>
    <w:basedOn w:val="BodyText"/>
    <w:rsid w:val="00C967F4"/>
    <w:pPr>
      <w:tabs>
        <w:tab w:val="left" w:pos="680"/>
      </w:tabs>
      <w:spacing w:before="60" w:after="60"/>
      <w:ind w:left="680" w:hanging="340"/>
    </w:pPr>
  </w:style>
  <w:style w:type="paragraph" w:styleId="List3">
    <w:name w:val="List 3"/>
    <w:basedOn w:val="BodyText"/>
    <w:rsid w:val="00C967F4"/>
    <w:pPr>
      <w:tabs>
        <w:tab w:val="left" w:pos="1021"/>
      </w:tabs>
      <w:spacing w:before="60" w:after="60"/>
      <w:ind w:left="1020" w:hanging="340"/>
    </w:pPr>
  </w:style>
  <w:style w:type="paragraph" w:styleId="List4">
    <w:name w:val="List 4"/>
    <w:basedOn w:val="BodyText"/>
    <w:rsid w:val="00C967F4"/>
    <w:pPr>
      <w:tabs>
        <w:tab w:val="left" w:pos="1361"/>
      </w:tabs>
      <w:spacing w:before="60" w:after="60"/>
      <w:ind w:left="1361" w:hanging="340"/>
    </w:pPr>
  </w:style>
  <w:style w:type="paragraph" w:styleId="List5">
    <w:name w:val="List 5"/>
    <w:basedOn w:val="BodyText"/>
    <w:rsid w:val="00C967F4"/>
    <w:pPr>
      <w:tabs>
        <w:tab w:val="left" w:pos="1701"/>
      </w:tabs>
      <w:spacing w:before="60" w:after="60"/>
      <w:ind w:left="1701" w:hanging="340"/>
    </w:pPr>
  </w:style>
  <w:style w:type="paragraph" w:styleId="ListBullet3">
    <w:name w:val="List Bullet 3"/>
    <w:basedOn w:val="List3"/>
    <w:rsid w:val="00C967F4"/>
    <w:pPr>
      <w:numPr>
        <w:numId w:val="14"/>
      </w:numPr>
      <w:tabs>
        <w:tab w:val="clear" w:pos="1021"/>
      </w:tabs>
      <w:ind w:left="1037" w:hanging="357"/>
    </w:pPr>
  </w:style>
  <w:style w:type="paragraph" w:styleId="ListBullet4">
    <w:name w:val="List Bullet 4"/>
    <w:basedOn w:val="List4"/>
    <w:rsid w:val="00C967F4"/>
    <w:pPr>
      <w:numPr>
        <w:numId w:val="3"/>
      </w:numPr>
      <w:tabs>
        <w:tab w:val="clear" w:pos="1361"/>
      </w:tabs>
    </w:pPr>
  </w:style>
  <w:style w:type="paragraph" w:styleId="ListBullet5">
    <w:name w:val="List Bullet 5"/>
    <w:basedOn w:val="List5"/>
    <w:rsid w:val="00C967F4"/>
    <w:pPr>
      <w:numPr>
        <w:numId w:val="4"/>
      </w:numPr>
    </w:pPr>
  </w:style>
  <w:style w:type="paragraph" w:styleId="ListContinue2">
    <w:name w:val="List Continue 2"/>
    <w:basedOn w:val="List2"/>
    <w:rsid w:val="00C967F4"/>
    <w:pPr>
      <w:ind w:firstLine="0"/>
    </w:pPr>
  </w:style>
  <w:style w:type="paragraph" w:styleId="ListContinue3">
    <w:name w:val="List Continue 3"/>
    <w:basedOn w:val="List3"/>
    <w:rsid w:val="00C967F4"/>
    <w:pPr>
      <w:ind w:left="1021" w:firstLine="0"/>
    </w:pPr>
  </w:style>
  <w:style w:type="paragraph" w:styleId="ListContinue4">
    <w:name w:val="List Continue 4"/>
    <w:basedOn w:val="List4"/>
    <w:rsid w:val="00C967F4"/>
    <w:pPr>
      <w:ind w:firstLine="0"/>
    </w:pPr>
  </w:style>
  <w:style w:type="paragraph" w:styleId="ListContinue5">
    <w:name w:val="List Continue 5"/>
    <w:basedOn w:val="List5"/>
    <w:rsid w:val="00C967F4"/>
    <w:pPr>
      <w:ind w:firstLine="0"/>
    </w:pPr>
  </w:style>
  <w:style w:type="paragraph" w:styleId="ListNumber3">
    <w:name w:val="List Number 3"/>
    <w:basedOn w:val="List3"/>
    <w:rsid w:val="00C967F4"/>
    <w:pPr>
      <w:numPr>
        <w:numId w:val="5"/>
      </w:numPr>
    </w:pPr>
  </w:style>
  <w:style w:type="paragraph" w:styleId="ListNumber4">
    <w:name w:val="List Number 4"/>
    <w:basedOn w:val="List4"/>
    <w:rsid w:val="00C967F4"/>
    <w:pPr>
      <w:numPr>
        <w:numId w:val="6"/>
      </w:numPr>
    </w:pPr>
  </w:style>
  <w:style w:type="paragraph" w:styleId="ListNumber5">
    <w:name w:val="List Number 5"/>
    <w:basedOn w:val="List5"/>
    <w:rsid w:val="00C967F4"/>
    <w:pPr>
      <w:numPr>
        <w:numId w:val="7"/>
      </w:numPr>
    </w:pPr>
  </w:style>
  <w:style w:type="paragraph" w:styleId="BlockText">
    <w:name w:val="Block Text"/>
    <w:basedOn w:val="Normal"/>
    <w:rsid w:val="00C967F4"/>
    <w:pPr>
      <w:spacing w:after="120"/>
      <w:ind w:left="1440" w:right="1440"/>
    </w:pPr>
  </w:style>
  <w:style w:type="character" w:customStyle="1" w:styleId="Subscript">
    <w:name w:val="Subscript"/>
    <w:basedOn w:val="DefaultParagraphFont"/>
    <w:rsid w:val="00C967F4"/>
    <w:rPr>
      <w:sz w:val="16"/>
      <w:vertAlign w:val="subscript"/>
    </w:rPr>
  </w:style>
  <w:style w:type="character" w:customStyle="1" w:styleId="Superscript">
    <w:name w:val="Superscript"/>
    <w:basedOn w:val="DefaultParagraphFont"/>
    <w:rsid w:val="00C967F4"/>
    <w:rPr>
      <w:sz w:val="16"/>
      <w:vertAlign w:val="superscript"/>
    </w:rPr>
  </w:style>
  <w:style w:type="character" w:customStyle="1" w:styleId="Symbols">
    <w:name w:val="Symbols"/>
    <w:basedOn w:val="DefaultParagraphFont"/>
    <w:rsid w:val="00C967F4"/>
    <w:rPr>
      <w:rFonts w:ascii="Symbol" w:hAnsi="Symbol"/>
    </w:rPr>
  </w:style>
  <w:style w:type="character" w:customStyle="1" w:styleId="MenuOptions">
    <w:name w:val="Menu Options"/>
    <w:basedOn w:val="DefaultParagraphFont"/>
    <w:rsid w:val="00C967F4"/>
    <w:rPr>
      <w:rFonts w:ascii="Arial Narrow" w:hAnsi="Arial Narrow"/>
      <w:smallCaps/>
    </w:rPr>
  </w:style>
  <w:style w:type="character" w:customStyle="1" w:styleId="Buttons">
    <w:name w:val="Buttons"/>
    <w:basedOn w:val="DefaultParagraphFont"/>
    <w:rsid w:val="00C967F4"/>
    <w:rPr>
      <w:b/>
    </w:rPr>
  </w:style>
  <w:style w:type="character" w:customStyle="1" w:styleId="Underlined">
    <w:name w:val="Underlined"/>
    <w:basedOn w:val="DefaultParagraphFont"/>
    <w:rsid w:val="00C967F4"/>
    <w:rPr>
      <w:u w:val="single"/>
    </w:rPr>
  </w:style>
  <w:style w:type="paragraph" w:customStyle="1" w:styleId="TableBodyTextRight">
    <w:name w:val="Table Body Text Right"/>
    <w:basedOn w:val="TableBodyText"/>
    <w:rsid w:val="00C967F4"/>
    <w:pPr>
      <w:widowControl w:val="0"/>
      <w:autoSpaceDE w:val="0"/>
      <w:autoSpaceDN w:val="0"/>
      <w:adjustRightInd w:val="0"/>
      <w:jc w:val="right"/>
    </w:pPr>
    <w:rPr>
      <w:rFonts w:cs="Arial"/>
      <w:szCs w:val="18"/>
    </w:rPr>
  </w:style>
  <w:style w:type="paragraph" w:customStyle="1" w:styleId="CopyrightText">
    <w:name w:val="Copyright Text"/>
    <w:basedOn w:val="BodyText"/>
    <w:rsid w:val="00C967F4"/>
    <w:rPr>
      <w:sz w:val="18"/>
    </w:rPr>
  </w:style>
  <w:style w:type="paragraph" w:customStyle="1" w:styleId="BodySmallRight">
    <w:name w:val="Body Small Right"/>
    <w:basedOn w:val="BodyTextRight"/>
    <w:rsid w:val="00C967F4"/>
    <w:rPr>
      <w:sz w:val="18"/>
      <w:szCs w:val="18"/>
    </w:rPr>
  </w:style>
  <w:style w:type="paragraph" w:customStyle="1" w:styleId="MarginEdition">
    <w:name w:val="Margin Edition"/>
    <w:basedOn w:val="MarginNote"/>
    <w:rsid w:val="00C967F4"/>
    <w:pPr>
      <w:spacing w:before="0" w:after="0"/>
    </w:pPr>
    <w:rPr>
      <w:rFonts w:ascii="Times New Roman" w:hAnsi="Times New Roman"/>
      <w:color w:val="999999"/>
    </w:rPr>
  </w:style>
  <w:style w:type="paragraph" w:customStyle="1" w:styleId="Spacer">
    <w:name w:val="Spacer"/>
    <w:basedOn w:val="Normal"/>
    <w:rsid w:val="00C967F4"/>
    <w:rPr>
      <w:sz w:val="2"/>
      <w:szCs w:val="2"/>
    </w:rPr>
  </w:style>
  <w:style w:type="character" w:customStyle="1" w:styleId="Small">
    <w:name w:val="Small"/>
    <w:basedOn w:val="DefaultParagraphFont"/>
    <w:rsid w:val="00C967F4"/>
    <w:rPr>
      <w:sz w:val="16"/>
    </w:rPr>
  </w:style>
  <w:style w:type="paragraph" w:customStyle="1" w:styleId="WideTable">
    <w:name w:val="Wide Table"/>
    <w:basedOn w:val="Normal"/>
    <w:rsid w:val="00C967F4"/>
    <w:pPr>
      <w:ind w:left="-1418"/>
    </w:pPr>
    <w:rPr>
      <w:sz w:val="2"/>
      <w:szCs w:val="2"/>
    </w:rPr>
  </w:style>
  <w:style w:type="character" w:styleId="PageNumber">
    <w:name w:val="page number"/>
    <w:basedOn w:val="DefaultParagraphFont"/>
    <w:rsid w:val="00C967F4"/>
  </w:style>
  <w:style w:type="paragraph" w:styleId="Quote">
    <w:name w:val="Quote"/>
    <w:basedOn w:val="Heading1"/>
    <w:link w:val="QuoteChar"/>
    <w:qFormat/>
    <w:rsid w:val="00C967F4"/>
    <w:rPr>
      <w:b w:val="0"/>
      <w:sz w:val="72"/>
      <w:szCs w:val="72"/>
      <w:lang w:val="en-NZ"/>
    </w:rPr>
  </w:style>
  <w:style w:type="character" w:customStyle="1" w:styleId="QuoteChar">
    <w:name w:val="Quote Char"/>
    <w:basedOn w:val="DefaultParagraphFont"/>
    <w:link w:val="Quote"/>
    <w:rsid w:val="00C96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7F4"/>
    <w:pPr>
      <w:pageBreakBefore/>
    </w:pPr>
  </w:style>
  <w:style w:type="paragraph" w:customStyle="1" w:styleId="Border">
    <w:name w:val="Border"/>
    <w:basedOn w:val="Normal"/>
    <w:qFormat/>
    <w:rsid w:val="00C96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7F4"/>
    <w:rPr>
      <w:b/>
      <w:bCs/>
      <w:i/>
      <w:iCs/>
      <w:color w:val="auto"/>
    </w:rPr>
  </w:style>
  <w:style w:type="paragraph" w:styleId="IntenseQuote">
    <w:name w:val="Intense Quote"/>
    <w:basedOn w:val="Normal"/>
    <w:next w:val="Normal"/>
    <w:link w:val="IntenseQuoteChar"/>
    <w:uiPriority w:val="30"/>
    <w:qFormat/>
    <w:rsid w:val="00C96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7F4"/>
    <w:rPr>
      <w:smallCaps/>
      <w:color w:val="auto"/>
      <w:u w:val="single"/>
    </w:rPr>
  </w:style>
  <w:style w:type="character" w:styleId="IntenseReference">
    <w:name w:val="Intense Reference"/>
    <w:basedOn w:val="DefaultParagraphFont"/>
    <w:uiPriority w:val="32"/>
    <w:qFormat/>
    <w:rsid w:val="00C967F4"/>
    <w:rPr>
      <w:b/>
      <w:bCs/>
      <w:smallCaps/>
      <w:color w:val="auto"/>
      <w:spacing w:val="5"/>
      <w:u w:val="single"/>
    </w:rPr>
  </w:style>
  <w:style w:type="paragraph" w:customStyle="1" w:styleId="2ColumnHeading">
    <w:name w:val="2Column Heading"/>
    <w:basedOn w:val="BodyText"/>
    <w:qFormat/>
    <w:rsid w:val="00C967F4"/>
    <w:pPr>
      <w:spacing w:after="60"/>
      <w:ind w:left="-2268"/>
    </w:pPr>
    <w:rPr>
      <w:b/>
    </w:rPr>
  </w:style>
  <w:style w:type="paragraph" w:customStyle="1" w:styleId="Heading1TOC">
    <w:name w:val="Heading1 TOC"/>
    <w:basedOn w:val="Normal"/>
    <w:qFormat/>
    <w:rsid w:val="00C967F4"/>
    <w:pPr>
      <w:spacing w:before="240" w:after="120"/>
    </w:pPr>
    <w:rPr>
      <w:rFonts w:ascii="Times New Roman" w:hAnsi="Times New Roman"/>
      <w:b/>
      <w:sz w:val="32"/>
    </w:rPr>
  </w:style>
  <w:style w:type="paragraph" w:customStyle="1" w:styleId="Heading2TOC">
    <w:name w:val="Heading2 TOC"/>
    <w:basedOn w:val="Normal"/>
    <w:qFormat/>
    <w:rsid w:val="00C967F4"/>
    <w:pPr>
      <w:spacing w:before="240" w:after="60"/>
    </w:pPr>
    <w:rPr>
      <w:rFonts w:ascii="Times New Roman" w:hAnsi="Times New Roman"/>
      <w:b/>
      <w:sz w:val="28"/>
    </w:rPr>
  </w:style>
  <w:style w:type="character" w:customStyle="1" w:styleId="Underline">
    <w:name w:val="Underline"/>
    <w:basedOn w:val="DefaultParagraphFont"/>
    <w:qFormat/>
    <w:rsid w:val="00C967F4"/>
    <w:rPr>
      <w:u w:val="single"/>
    </w:rPr>
  </w:style>
  <w:style w:type="paragraph" w:styleId="BalloonText">
    <w:name w:val="Balloon Text"/>
    <w:basedOn w:val="Normal"/>
    <w:link w:val="BalloonTextChar"/>
    <w:rsid w:val="00C967F4"/>
    <w:rPr>
      <w:rFonts w:ascii="Tahoma" w:hAnsi="Tahoma" w:cs="Tahoma"/>
      <w:sz w:val="16"/>
      <w:szCs w:val="16"/>
    </w:rPr>
  </w:style>
  <w:style w:type="character" w:customStyle="1" w:styleId="BalloonTextChar">
    <w:name w:val="Balloon Text Char"/>
    <w:basedOn w:val="DefaultParagraphFont"/>
    <w:link w:val="BalloonText"/>
    <w:rsid w:val="00C96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7F4"/>
    <w:rPr>
      <w:b/>
      <w:color w:val="660033"/>
      <w:spacing w:val="0"/>
    </w:rPr>
  </w:style>
  <w:style w:type="paragraph" w:customStyle="1" w:styleId="Nameditemlist">
    <w:name w:val="Named item list"/>
    <w:basedOn w:val="BodyText"/>
    <w:qFormat/>
    <w:rsid w:val="00C967F4"/>
    <w:pPr>
      <w:tabs>
        <w:tab w:val="left" w:pos="2835"/>
      </w:tabs>
      <w:ind w:left="2835" w:hanging="2835"/>
    </w:pPr>
  </w:style>
  <w:style w:type="paragraph" w:customStyle="1" w:styleId="BodyTextnopadding">
    <w:name w:val="Body Text no padding"/>
    <w:basedOn w:val="BodyText"/>
    <w:qFormat/>
    <w:rsid w:val="00C967F4"/>
    <w:pPr>
      <w:spacing w:before="0" w:after="0"/>
    </w:pPr>
  </w:style>
  <w:style w:type="paragraph" w:customStyle="1" w:styleId="BodyTextBold">
    <w:name w:val="Body Text Bold"/>
    <w:basedOn w:val="BodyText"/>
    <w:qFormat/>
    <w:rsid w:val="00C967F4"/>
    <w:rPr>
      <w:b/>
    </w:rPr>
  </w:style>
  <w:style w:type="character" w:styleId="Hyperlink">
    <w:name w:val="Hyperlink"/>
    <w:basedOn w:val="DefaultParagraphFont"/>
    <w:uiPriority w:val="99"/>
    <w:unhideWhenUsed/>
    <w:rsid w:val="00797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4794</Characters>
  <Application>Microsoft Office Word</Application>
  <DocSecurity>0</DocSecurity>
  <Lines>154</Lines>
  <Paragraphs>102</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AURVTW004 Carry out tungsten inert gas welding</dc:title>
  <dc:subject>Approved</dc:subject>
  <dc:creator>PwC’s Skills for Australia</dc:creator>
  <cp:keywords>Release: 1</cp:keywords>
  <dc:description>Review Date: 12 April 2008</dc:description>
  <cp:lastModifiedBy>HSD_TPCMSd.prod</cp:lastModifiedBy>
  <cp:revision>3</cp:revision>
  <dcterms:created xsi:type="dcterms:W3CDTF">2022-06-23T07:06:00Z</dcterms:created>
  <dcterms:modified xsi:type="dcterms:W3CDTF">2022-06-23T07:06:00Z</dcterms:modified>
</cp:coreProperties>
</file>