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1A7" w:rsidP="003851A7">
      <w:pPr>
        <w:pStyle w:val="Title"/>
      </w:pPr>
      <w:r>
        <w:fldChar w:fldCharType="begin"/>
      </w:r>
      <w:r>
        <w:instrText xml:space="preserve"> TITLE   \* MERGEFORMAT </w:instrText>
      </w:r>
      <w:r>
        <w:fldChar w:fldCharType="separate"/>
      </w:r>
      <w:r>
        <w:t>AURVTW004 Carry out tungsten inert gas welding</w:t>
      </w:r>
      <w:r>
        <w:fldChar w:fldCharType="end"/>
      </w:r>
    </w:p>
    <w:p w:rsidR="003851A7" w:rsidP="003851A7">
      <w:pPr>
        <w:pStyle w:val="Version"/>
        <w:sectPr w:rsidSect="004C6A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A55" w:rsidP="004C6A55">
      <w:pPr>
        <w:pStyle w:val="SuperHeading"/>
      </w:pPr>
      <w:r w:rsidRPr="004C6A55">
        <w:t>AURVTW004 Carry out tungsten inert gas welding</w:t>
      </w:r>
    </w:p>
    <w:p w:rsidR="00000000" w:rsidRPr="004C6A55" w:rsidP="004C6A55">
      <w:pPr>
        <w:pStyle w:val="Heading1"/>
      </w:pPr>
      <w:bookmarkStart w:id="1" w:name="O_807513"/>
      <w:bookmarkEnd w:id="1"/>
      <w:r w:rsidRPr="004C6A55">
        <w:t>Modification History</w:t>
      </w:r>
    </w:p>
    <w:tbl>
      <w:tblPr>
        <w:tblW w:w="9639" w:type="dxa"/>
        <w:tblLayout w:type="fixed"/>
        <w:tblCellMar>
          <w:left w:w="62" w:type="dxa"/>
          <w:right w:w="62" w:type="dxa"/>
        </w:tblCellMar>
        <w:tblLook w:val="0000"/>
      </w:tblPr>
      <w:tblGrid>
        <w:gridCol w:w="2835"/>
        <w:gridCol w:w="6804"/>
      </w:tblGrid>
      <w:tr w:rsidTr="003851A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A55" w:rsidP="004C6A55">
            <w:pPr>
              <w:pStyle w:val="BodyText"/>
            </w:pPr>
            <w:r w:rsidRPr="004C6A5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A55">
            <w:pPr>
              <w:pStyle w:val="BodyText"/>
              <w:rPr>
                <w:lang w:val="en-NZ"/>
              </w:rPr>
            </w:pPr>
            <w:r w:rsidRPr="004C6A55">
              <w:rPr>
                <w:rStyle w:val="SpecialBold"/>
              </w:rPr>
              <w:t>Comment</w:t>
            </w:r>
          </w:p>
        </w:tc>
      </w:tr>
      <w:tr w:rsidTr="003851A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A55">
            <w:pPr>
              <w:pStyle w:val="BodyText"/>
              <w:rPr>
                <w:lang w:val="en-NZ"/>
              </w:rPr>
            </w:pPr>
            <w:r w:rsidRPr="004C6A5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A55" w:rsidP="004C6A55">
            <w:pPr>
              <w:pStyle w:val="BodyText"/>
            </w:pPr>
            <w:r w:rsidRPr="004C6A55">
              <w:t>New unit of competency.</w:t>
            </w:r>
          </w:p>
        </w:tc>
      </w:tr>
    </w:tbl>
    <w:p w:rsidR="00000000" w:rsidRPr="004C6A55" w:rsidP="004C6A55">
      <w:pPr>
        <w:pStyle w:val="BodyText"/>
      </w:pPr>
    </w:p>
    <w:p w:rsidR="00000000" w:rsidRPr="004C6A55" w:rsidP="004C6A55">
      <w:pPr>
        <w:pStyle w:val="AllowPageBreak"/>
      </w:pPr>
    </w:p>
    <w:p w:rsidR="00000000" w:rsidRPr="004C6A55" w:rsidP="004C6A55">
      <w:pPr>
        <w:pStyle w:val="Heading1"/>
      </w:pPr>
      <w:bookmarkStart w:id="2" w:name="O_807514"/>
      <w:bookmarkEnd w:id="2"/>
      <w:r w:rsidRPr="004C6A55">
        <w:t>Application</w:t>
      </w:r>
    </w:p>
    <w:p w:rsidR="00000000" w:rsidRPr="004C6A55" w:rsidP="003851A7">
      <w:pPr>
        <w:pStyle w:val="BodyText"/>
      </w:pPr>
      <w:r w:rsidRPr="004C6A55">
        <w:t>This unit describes the performance outcomes required to carry out welding operations using tungsten inert gas (TIG) welding. It involves prepari</w:t>
      </w:r>
      <w:r w:rsidRPr="004C6A55">
        <w:t>ng for the task, selecting and using TIG welding equipment, setting gas flow pressures and welder settings, selecting and using suitable personal protective equipment (PPE), performing welding to given specifications, inspecting and testing weld quality, a</w:t>
      </w:r>
      <w:r w:rsidRPr="004C6A55">
        <w:t>nd completing workplace processes and documentation.</w:t>
      </w:r>
    </w:p>
    <w:p w:rsidR="00000000" w:rsidRPr="004C6A55" w:rsidP="003851A7">
      <w:pPr>
        <w:pStyle w:val="BodyText"/>
      </w:pPr>
      <w:r w:rsidRPr="004C6A55">
        <w:t>It applies to those working in the automotive service and repair industry.</w:t>
      </w:r>
    </w:p>
    <w:p w:rsidR="00000000" w:rsidRPr="004C6A55" w:rsidP="003851A7">
      <w:pPr>
        <w:pStyle w:val="BodyText"/>
      </w:pPr>
      <w:r w:rsidRPr="004C6A55">
        <w:t>No licensing, legislative, regulatory or certification requirements apply to this unit at the time of publication.</w:t>
      </w:r>
    </w:p>
    <w:p w:rsidR="00000000" w:rsidRPr="004C6A55" w:rsidP="004C6A55">
      <w:pPr>
        <w:pStyle w:val="Heading1"/>
      </w:pPr>
      <w:bookmarkStart w:id="3" w:name="O_807516"/>
      <w:bookmarkEnd w:id="3"/>
      <w:r w:rsidRPr="004C6A55">
        <w:t>Competency Field</w:t>
      </w:r>
    </w:p>
    <w:p w:rsidR="00000000" w:rsidRPr="004C6A55" w:rsidP="003851A7">
      <w:pPr>
        <w:pStyle w:val="BodyText"/>
      </w:pPr>
      <w:r w:rsidRPr="004C6A55">
        <w:t>Vehicle body</w:t>
      </w:r>
    </w:p>
    <w:p w:rsidR="00000000" w:rsidRPr="004C6A55" w:rsidP="004C6A55">
      <w:pPr>
        <w:pStyle w:val="Heading1"/>
      </w:pPr>
      <w:bookmarkStart w:id="4" w:name="O_807517"/>
      <w:bookmarkEnd w:id="4"/>
      <w:r w:rsidRPr="004C6A55">
        <w:t>Unit Sector</w:t>
      </w:r>
    </w:p>
    <w:p w:rsidR="00000000" w:rsidRPr="004C6A55" w:rsidP="003851A7">
      <w:pPr>
        <w:pStyle w:val="BodyText"/>
      </w:pPr>
      <w:r w:rsidRPr="004C6A55">
        <w:t>Technical - Welding, Grinding, Machining and Soldering</w:t>
      </w:r>
    </w:p>
    <w:p w:rsidR="00000000" w:rsidRPr="004C6A55" w:rsidP="004C6A55">
      <w:pPr>
        <w:pStyle w:val="Heading1"/>
      </w:pPr>
      <w:bookmarkStart w:id="5" w:name="O_807518"/>
      <w:bookmarkEnd w:id="5"/>
      <w:r w:rsidRPr="004C6A55">
        <w:t>Elements and Performance Criteria</w:t>
      </w:r>
    </w:p>
    <w:tbl>
      <w:tblPr>
        <w:tblW w:w="9639" w:type="dxa"/>
        <w:tblLayout w:type="fixed"/>
        <w:tblCellMar>
          <w:left w:w="62" w:type="dxa"/>
          <w:right w:w="62" w:type="dxa"/>
        </w:tblCellMar>
        <w:tblLook w:val="0000"/>
      </w:tblPr>
      <w:tblGrid>
        <w:gridCol w:w="2835"/>
        <w:gridCol w:w="6804"/>
      </w:tblGrid>
      <w:tr w:rsidTr="004C6A5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BodyText"/>
            </w:pPr>
            <w:r w:rsidRPr="004C6A55">
              <w:rPr>
                <w:rStyle w:val="SpecialBold"/>
              </w:rPr>
              <w:t>Elements</w:t>
            </w:r>
          </w:p>
          <w:p w:rsidR="00000000" w:rsidRPr="004C6A55" w:rsidP="004C6A55">
            <w:pPr>
              <w:pStyle w:val="BodyText"/>
            </w:pPr>
            <w:r w:rsidRPr="004C6A5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BodyText"/>
            </w:pPr>
            <w:r w:rsidRPr="004C6A55">
              <w:rPr>
                <w:rStyle w:val="SpecialBold"/>
              </w:rPr>
              <w:t>Performance Criteria</w:t>
            </w:r>
          </w:p>
          <w:p w:rsidR="00000000" w:rsidP="004C6A55">
            <w:pPr>
              <w:pStyle w:val="BodyText"/>
              <w:rPr>
                <w:lang w:val="en-NZ"/>
              </w:rPr>
            </w:pPr>
            <w:r w:rsidRPr="004C6A55">
              <w:t>Performance</w:t>
            </w:r>
            <w:r w:rsidRPr="004C6A55">
              <w:t xml:space="preserve"> criteria describe the performance needed to demonstrate achievement of the element. Where bold and italicised text is used, further information is detailed in the range of conditions section.</w:t>
            </w:r>
          </w:p>
        </w:tc>
      </w:tr>
      <w:tr w:rsidTr="004C6A5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List"/>
              <w:rPr>
                <w:lang w:val="en-NZ"/>
              </w:rPr>
            </w:pPr>
            <w:r w:rsidRPr="004C6A55">
              <w:t>1.</w:t>
            </w:r>
            <w:r w:rsidRPr="004C6A55">
              <w:tab/>
              <w:t xml:space="preserve">Plan and prepare to </w:t>
            </w:r>
            <w:r w:rsidRPr="004C6A55">
              <w:t>weld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
            </w:pPr>
            <w:r w:rsidRPr="004C6A55">
              <w:t>1.1</w:t>
            </w:r>
            <w:r w:rsidRPr="004C6A55">
              <w:tab/>
              <w:t>Job requirements are determine</w:t>
            </w:r>
            <w:r w:rsidRPr="004C6A55">
              <w:t>d from workplace instructions</w:t>
            </w:r>
          </w:p>
          <w:p w:rsidR="00000000" w:rsidRPr="004C6A55" w:rsidP="004C6A55">
            <w:pPr>
              <w:pStyle w:val="List"/>
            </w:pPr>
            <w:r w:rsidRPr="004C6A55">
              <w:t>1.2</w:t>
            </w:r>
            <w:r w:rsidRPr="004C6A55">
              <w:tab/>
            </w:r>
            <w:r w:rsidRPr="004C6A55">
              <w:rPr>
                <w:rStyle w:val="BoldandItalics"/>
              </w:rPr>
              <w:t>Welding information</w:t>
            </w:r>
            <w:r w:rsidRPr="004C6A55">
              <w:t xml:space="preserve"> is accessed and interpreted</w:t>
            </w:r>
          </w:p>
          <w:p w:rsidR="00000000" w:rsidRPr="004C6A55" w:rsidP="004C6A55">
            <w:pPr>
              <w:pStyle w:val="List"/>
            </w:pPr>
            <w:r w:rsidRPr="004C6A55">
              <w:t>1.3</w:t>
            </w:r>
            <w:r w:rsidRPr="004C6A55">
              <w:tab/>
              <w:t>Hazards associated with the work are identified and risks are managed</w:t>
            </w:r>
          </w:p>
          <w:p w:rsidR="00000000" w:rsidRPr="004C6A55" w:rsidP="004C6A55">
            <w:pPr>
              <w:pStyle w:val="List"/>
            </w:pPr>
            <w:r w:rsidRPr="004C6A55">
              <w:t>1.4</w:t>
            </w:r>
            <w:r w:rsidRPr="004C6A55">
              <w:rPr>
                <w:rStyle w:val="BoldandItalics"/>
              </w:rPr>
              <w:tab/>
              <w:t>Tools and equipment</w:t>
            </w:r>
            <w:r w:rsidRPr="004C6A55">
              <w:t xml:space="preserve"> are selected and checked for serviceability</w:t>
            </w:r>
          </w:p>
          <w:p w:rsidR="00000000" w:rsidP="004C6A55">
            <w:pPr>
              <w:pStyle w:val="List"/>
              <w:rPr>
                <w:lang w:val="en-NZ"/>
              </w:rPr>
            </w:pPr>
            <w:r w:rsidRPr="004C6A55">
              <w:t>1.5</w:t>
            </w:r>
            <w:r w:rsidRPr="004C6A55">
              <w:tab/>
            </w:r>
            <w:r w:rsidRPr="004C6A55">
              <w:t>Work area is prepared and work is planned to carry out TIG welding, minimise waste, and use time efficiently</w:t>
            </w:r>
          </w:p>
        </w:tc>
      </w:tr>
      <w:tr w:rsidTr="004C6A5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List"/>
              <w:rPr>
                <w:lang w:val="en-NZ"/>
              </w:rPr>
            </w:pPr>
            <w:r w:rsidRPr="004C6A55">
              <w:t>2.</w:t>
            </w:r>
            <w:r w:rsidRPr="004C6A55">
              <w:tab/>
              <w:t>Weld materials using TIG welder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
            </w:pPr>
            <w:r w:rsidRPr="004C6A55">
              <w:t>2.1</w:t>
            </w:r>
            <w:r w:rsidRPr="004C6A55">
              <w:tab/>
              <w:t xml:space="preserve">TIG welding equipment is prepared, set up and adjusted for specific welding job requirement </w:t>
            </w:r>
          </w:p>
          <w:p w:rsidR="00000000" w:rsidRPr="004C6A55" w:rsidP="004C6A55">
            <w:pPr>
              <w:pStyle w:val="List"/>
            </w:pPr>
            <w:r w:rsidRPr="004C6A55">
              <w:t>2.2</w:t>
            </w:r>
            <w:r w:rsidRPr="004C6A55">
              <w:tab/>
              <w:t>TIG weldin</w:t>
            </w:r>
            <w:r w:rsidRPr="004C6A55">
              <w:t xml:space="preserve">g equipment is used according to manufacturer operating procedures and </w:t>
            </w:r>
            <w:r w:rsidRPr="004C6A55">
              <w:rPr>
                <w:rStyle w:val="BoldandItalics"/>
              </w:rPr>
              <w:t>safety and environmental requirements</w:t>
            </w:r>
          </w:p>
          <w:p w:rsidR="00000000" w:rsidRPr="004C6A55" w:rsidP="004C6A55">
            <w:pPr>
              <w:pStyle w:val="List"/>
            </w:pPr>
            <w:r w:rsidRPr="004C6A55">
              <w:t>2.3</w:t>
            </w:r>
            <w:r w:rsidRPr="004C6A55">
              <w:tab/>
              <w:t>Weld test runs are conducted according to workplace instructions and weld specifications</w:t>
            </w:r>
          </w:p>
          <w:p w:rsidR="00000000" w:rsidP="004C6A55">
            <w:pPr>
              <w:pStyle w:val="List"/>
              <w:rPr>
                <w:lang w:val="en-NZ"/>
              </w:rPr>
            </w:pPr>
            <w:r w:rsidRPr="004C6A55">
              <w:t>2.4</w:t>
            </w:r>
            <w:r w:rsidRPr="004C6A55">
              <w:tab/>
              <w:t>Materials are welded using standard or inverter TI</w:t>
            </w:r>
            <w:r w:rsidRPr="004C6A55">
              <w:t>G process to industry standards</w:t>
            </w:r>
          </w:p>
        </w:tc>
      </w:tr>
      <w:tr w:rsidTr="004C6A5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List"/>
              <w:rPr>
                <w:lang w:val="en-NZ"/>
              </w:rPr>
            </w:pPr>
            <w:r w:rsidRPr="004C6A55">
              <w:t>3.</w:t>
            </w:r>
            <w:r w:rsidRPr="004C6A55">
              <w:tab/>
              <w:t>Check welds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
            </w:pPr>
            <w:r w:rsidRPr="004C6A55">
              <w:t>3.1</w:t>
            </w:r>
            <w:r w:rsidRPr="004C6A55">
              <w:tab/>
              <w:t>Welds are cleaned using appropriate tools and techniques and according to workplace instructions</w:t>
            </w:r>
          </w:p>
          <w:p w:rsidR="00000000" w:rsidRPr="004C6A55" w:rsidP="004C6A55">
            <w:pPr>
              <w:pStyle w:val="List"/>
            </w:pPr>
            <w:r w:rsidRPr="004C6A55">
              <w:t>3.2</w:t>
            </w:r>
            <w:r w:rsidRPr="004C6A55">
              <w:tab/>
              <w:t>Weld specifications and quality requirements are checked and confirmed by non-destructive inspection</w:t>
            </w:r>
          </w:p>
          <w:p w:rsidR="00000000" w:rsidP="004C6A55">
            <w:pPr>
              <w:pStyle w:val="List"/>
              <w:rPr>
                <w:lang w:val="en-NZ"/>
              </w:rPr>
            </w:pPr>
            <w:r w:rsidRPr="004C6A55">
              <w:t>3.</w:t>
            </w:r>
            <w:r w:rsidRPr="004C6A55">
              <w:t>3</w:t>
            </w:r>
            <w:r w:rsidRPr="004C6A55">
              <w:tab/>
              <w:t>Weld defects are identified, prepared for re-welding as required, and appropriate personnel are notified</w:t>
            </w:r>
          </w:p>
        </w:tc>
      </w:tr>
      <w:tr w:rsidTr="004C6A5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List"/>
              <w:rPr>
                <w:lang w:val="en-NZ"/>
              </w:rPr>
            </w:pPr>
            <w:r w:rsidRPr="004C6A55">
              <w:t>4.</w:t>
            </w:r>
            <w:r w:rsidRPr="004C6A5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
            </w:pPr>
            <w:r w:rsidRPr="004C6A55">
              <w:t>4.1</w:t>
            </w:r>
            <w:r w:rsidRPr="004C6A55">
              <w:tab/>
              <w:t>Final inspection is made to ensure work meets workplace expectations and component is presented ready for use</w:t>
            </w:r>
          </w:p>
          <w:p w:rsidR="00000000" w:rsidRPr="004C6A55" w:rsidP="004C6A55">
            <w:pPr>
              <w:pStyle w:val="List"/>
            </w:pPr>
            <w:r w:rsidRPr="004C6A55">
              <w:t>4.2</w:t>
            </w:r>
            <w:r w:rsidRPr="004C6A55">
              <w:tab/>
              <w:t>Wor</w:t>
            </w:r>
            <w:r w:rsidRPr="004C6A55">
              <w:t>k area is cleaned, waste and non-recyclable materials are disposed of, and recyclable material is collected and stored</w:t>
            </w:r>
          </w:p>
          <w:p w:rsidR="00000000" w:rsidRPr="004C6A55" w:rsidP="004C6A55">
            <w:pPr>
              <w:pStyle w:val="List"/>
            </w:pPr>
            <w:r w:rsidRPr="004C6A55">
              <w:t>4.3</w:t>
            </w:r>
            <w:r w:rsidRPr="004C6A55">
              <w:tab/>
              <w:t>Tools and equipment are checked, reported if faulty, and stored according to workplace procedures</w:t>
            </w:r>
          </w:p>
          <w:p w:rsidR="00000000" w:rsidRPr="004C6A55" w:rsidP="004C6A55">
            <w:pPr>
              <w:pStyle w:val="List"/>
            </w:pPr>
            <w:r w:rsidRPr="004C6A55">
              <w:t>4.4</w:t>
            </w:r>
            <w:r w:rsidRPr="004C6A55">
              <w:tab/>
              <w:t>Workplace documentation is proc</w:t>
            </w:r>
            <w:r w:rsidRPr="004C6A55">
              <w:t>essed according to workplace procedures</w:t>
            </w:r>
          </w:p>
        </w:tc>
      </w:tr>
    </w:tbl>
    <w:p w:rsidR="00000000" w:rsidRPr="004C6A55" w:rsidP="004C6A55">
      <w:pPr>
        <w:pStyle w:val="BodyText"/>
      </w:pPr>
    </w:p>
    <w:p w:rsidR="00000000" w:rsidRPr="004C6A55" w:rsidP="004C6A55">
      <w:pPr>
        <w:pStyle w:val="AllowPageBreak"/>
      </w:pPr>
    </w:p>
    <w:p w:rsidR="00000000" w:rsidRPr="004C6A55" w:rsidP="004C6A55">
      <w:pPr>
        <w:pStyle w:val="Heading1"/>
      </w:pPr>
      <w:bookmarkStart w:id="6" w:name="O_807519"/>
      <w:bookmarkEnd w:id="6"/>
      <w:r w:rsidRPr="004C6A55">
        <w:t>Foundation Skills</w:t>
      </w:r>
    </w:p>
    <w:p w:rsidR="00000000" w:rsidRPr="004C6A55" w:rsidP="003851A7">
      <w:pPr>
        <w:pStyle w:val="BodyText"/>
      </w:pPr>
      <w:r w:rsidRPr="004C6A5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C6A5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BodyText"/>
            </w:pPr>
            <w:r w:rsidRPr="004C6A5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rPr>
                <w:rStyle w:val="SpecialBold"/>
              </w:rPr>
              <w:t>Description</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ListBullet"/>
              <w:rPr>
                <w:lang w:val="en-NZ"/>
              </w:rPr>
            </w:pPr>
            <w:r w:rsidRPr="004C6A55">
              <w:t>locate appropriate sources of information efficiently.</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ListBullet"/>
              <w:rPr>
                <w:lang w:val="en-NZ"/>
              </w:rPr>
            </w:pPr>
            <w:r w:rsidRPr="004C6A55">
              <w:t>legibly and accurately fill out workplace documentation.</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Bullet"/>
            </w:pPr>
            <w:r w:rsidRPr="004C6A55">
              <w:t>clarify instructions and procedures</w:t>
            </w:r>
          </w:p>
          <w:p w:rsidR="00000000" w:rsidP="004C6A55">
            <w:pPr>
              <w:pStyle w:val="ListBullet"/>
              <w:rPr>
                <w:lang w:val="en-NZ"/>
              </w:rPr>
            </w:pPr>
            <w:r w:rsidRPr="004C6A55">
              <w:t>clearly report quality issues and job outcomes.</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Bullet"/>
            </w:pPr>
            <w:r w:rsidRPr="004C6A55">
              <w:t>identify and set TIG welder settings</w:t>
            </w:r>
          </w:p>
          <w:p w:rsidR="00000000" w:rsidRPr="004C6A55" w:rsidP="004C6A55">
            <w:pPr>
              <w:pStyle w:val="ListBullet"/>
            </w:pPr>
            <w:r w:rsidRPr="004C6A55">
              <w:t>identify weld measurements from job requirements</w:t>
            </w:r>
          </w:p>
          <w:p w:rsidR="00000000" w:rsidP="004C6A55">
            <w:pPr>
              <w:pStyle w:val="ListBullet"/>
              <w:rPr>
                <w:lang w:val="en-NZ"/>
              </w:rPr>
            </w:pPr>
            <w:r w:rsidRPr="004C6A55">
              <w:t>measure material from specifications.</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ListBullet"/>
              <w:rPr>
                <w:lang w:val="en-NZ"/>
              </w:rPr>
            </w:pPr>
            <w:r w:rsidRPr="004C6A55">
              <w:t>plan own work requirement</w:t>
            </w:r>
            <w:r w:rsidRPr="004C6A55">
              <w:t>s and prioritise actions to achieve required outcomes and ensure tasks are completed within workplace timeframes.</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ListBullet"/>
              <w:rPr>
                <w:lang w:val="en-NZ"/>
              </w:rPr>
            </w:pPr>
            <w:r w:rsidRPr="004C6A55">
              <w:t xml:space="preserve">identify defects, quality issues and potential problems associated with TIG welding processes and </w:t>
            </w:r>
            <w:r w:rsidRPr="004C6A55">
              <w:t>refer problems to appropriate person.</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Bullet"/>
            </w:pPr>
            <w:r w:rsidRPr="004C6A55">
              <w:t>use specialist TIG equipment.</w:t>
            </w:r>
          </w:p>
        </w:tc>
      </w:tr>
    </w:tbl>
    <w:p w:rsidR="00000000" w:rsidRPr="004C6A55" w:rsidP="004C6A55">
      <w:pPr>
        <w:pStyle w:val="BodyText"/>
      </w:pPr>
    </w:p>
    <w:p w:rsidR="00000000" w:rsidRPr="004C6A55" w:rsidP="004C6A55">
      <w:pPr>
        <w:pStyle w:val="AllowPageBreak"/>
      </w:pPr>
    </w:p>
    <w:p w:rsidR="00000000" w:rsidRPr="004C6A55" w:rsidP="004C6A55">
      <w:pPr>
        <w:pStyle w:val="Heading1"/>
      </w:pPr>
      <w:bookmarkStart w:id="7" w:name="O_807520"/>
      <w:bookmarkEnd w:id="7"/>
      <w:r w:rsidRPr="004C6A55">
        <w:t>Range of Conditions</w:t>
      </w:r>
    </w:p>
    <w:p w:rsidR="00000000" w:rsidRPr="004C6A55" w:rsidP="003851A7">
      <w:pPr>
        <w:pStyle w:val="BodyText"/>
      </w:pPr>
      <w:r w:rsidRPr="004C6A55">
        <w:t xml:space="preserve">This section specifies work environments and conditions that may affect performance. Essential operating conditions that may </w:t>
      </w:r>
      <w:r w:rsidRPr="004C6A55">
        <w:t>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rPr>
                <w:rStyle w:val="BoldandItalics"/>
              </w:rPr>
              <w:t>Welding information</w:t>
            </w:r>
            <w:r w:rsidRPr="004C6A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Bullet"/>
            </w:pPr>
            <w:r w:rsidRPr="004C6A55">
              <w:t>manufacturer operating procedures</w:t>
            </w:r>
          </w:p>
          <w:p w:rsidR="00000000" w:rsidRPr="004C6A55" w:rsidP="004C6A55">
            <w:pPr>
              <w:pStyle w:val="ListBullet"/>
            </w:pPr>
            <w:r w:rsidRPr="004C6A55">
              <w:t>national standards and codes of practice for welding</w:t>
            </w:r>
          </w:p>
          <w:p w:rsidR="00000000" w:rsidP="004C6A55">
            <w:pPr>
              <w:pStyle w:val="ListBullet"/>
              <w:rPr>
                <w:lang w:val="en-NZ"/>
              </w:rPr>
            </w:pPr>
            <w:r w:rsidRPr="004C6A55">
              <w:t>workplace procedures.</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rPr>
                <w:rStyle w:val="BoldandItalics"/>
              </w:rPr>
              <w:t>Tools and equipment</w:t>
            </w:r>
            <w:r w:rsidRPr="004C6A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Bullet"/>
            </w:pPr>
            <w:r w:rsidRPr="004C6A55">
              <w:t>standard and inverter TIG equipment</w:t>
            </w:r>
          </w:p>
          <w:p w:rsidR="00000000" w:rsidRPr="004C6A55" w:rsidP="004C6A55">
            <w:pPr>
              <w:pStyle w:val="ListBullet"/>
            </w:pPr>
            <w:r w:rsidRPr="004C6A55">
              <w:t>tungsten electrodes</w:t>
            </w:r>
          </w:p>
          <w:p w:rsidR="00000000" w:rsidRPr="004C6A55" w:rsidP="004C6A55">
            <w:pPr>
              <w:pStyle w:val="ListBullet"/>
            </w:pPr>
            <w:r w:rsidRPr="004C6A55">
              <w:t xml:space="preserve">protective screens and fume extraction </w:t>
            </w:r>
            <w:r w:rsidRPr="004C6A55">
              <w:t>system</w:t>
            </w:r>
          </w:p>
          <w:p w:rsidR="00000000" w:rsidRPr="004C6A55" w:rsidP="004C6A55">
            <w:pPr>
              <w:pStyle w:val="ListBullet"/>
            </w:pPr>
            <w:r w:rsidRPr="004C6A55">
              <w:t>shielding gas</w:t>
            </w:r>
          </w:p>
          <w:p w:rsidR="00000000" w:rsidRPr="004C6A55" w:rsidP="004C6A55">
            <w:pPr>
              <w:pStyle w:val="ListBullet"/>
            </w:pPr>
            <w:r w:rsidRPr="004C6A55">
              <w:t>filler rods</w:t>
            </w:r>
          </w:p>
          <w:p w:rsidR="00000000" w:rsidP="004C6A55">
            <w:pPr>
              <w:pStyle w:val="ListBullet"/>
              <w:rPr>
                <w:lang w:val="en-NZ"/>
              </w:rPr>
            </w:pPr>
            <w:r w:rsidRPr="004C6A55">
              <w:t>PPE, including approved welding helmets.</w:t>
            </w:r>
          </w:p>
        </w:tc>
      </w:tr>
      <w:tr w:rsidTr="004C6A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55">
            <w:pPr>
              <w:pStyle w:val="BodyText"/>
              <w:rPr>
                <w:lang w:val="en-NZ"/>
              </w:rPr>
            </w:pPr>
            <w:r w:rsidRPr="004C6A55">
              <w:rPr>
                <w:rStyle w:val="BoldandItalics"/>
              </w:rPr>
              <w:t>Safety and environmental requirements</w:t>
            </w:r>
            <w:r w:rsidRPr="004C6A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55" w:rsidP="004C6A55">
            <w:pPr>
              <w:pStyle w:val="ListBullet"/>
            </w:pPr>
            <w:r w:rsidRPr="004C6A55">
              <w:t>work health and safety (WHS), and occupational health and safety (OHS) requirements, including procedures for:</w:t>
            </w:r>
          </w:p>
          <w:p w:rsidR="00000000" w:rsidRPr="004C6A55" w:rsidP="004C6A55">
            <w:pPr>
              <w:pStyle w:val="ListBullet2"/>
            </w:pPr>
            <w:r w:rsidRPr="004C6A55">
              <w:t>selecting and using PPE for TIG welding, including approved welding helmets</w:t>
            </w:r>
          </w:p>
          <w:p w:rsidR="00000000" w:rsidRPr="004C6A55" w:rsidP="004C6A55">
            <w:pPr>
              <w:pStyle w:val="ListBullet2"/>
            </w:pPr>
            <w:r w:rsidRPr="004C6A55">
              <w:t>using specialist welding tools and equipment</w:t>
            </w:r>
          </w:p>
          <w:p w:rsidR="00000000" w:rsidRPr="004C6A55" w:rsidP="004C6A55">
            <w:pPr>
              <w:pStyle w:val="ListBullet2"/>
            </w:pPr>
            <w:r w:rsidRPr="004C6A55">
              <w:t>using protective screens and fume extraction system</w:t>
            </w:r>
          </w:p>
          <w:p w:rsidR="00000000" w:rsidRPr="004C6A55" w:rsidP="004C6A55">
            <w:pPr>
              <w:pStyle w:val="ListBullet2"/>
            </w:pPr>
            <w:r w:rsidRPr="004C6A55">
              <w:t>manually handling vehicle components and TIG equipment</w:t>
            </w:r>
          </w:p>
          <w:p w:rsidR="00000000" w:rsidRPr="004C6A55" w:rsidP="004C6A55">
            <w:pPr>
              <w:pStyle w:val="ListBullet2"/>
            </w:pPr>
            <w:r w:rsidRPr="004C6A55">
              <w:t>identifying and controlling hazards</w:t>
            </w:r>
          </w:p>
          <w:p w:rsidR="00000000" w:rsidRPr="004C6A55" w:rsidP="004C6A55">
            <w:pPr>
              <w:pStyle w:val="ListBullet"/>
            </w:pPr>
            <w:r w:rsidRPr="004C6A55">
              <w:t>environmental requirements, including procedures for trapping, storing and disposing of waste materials.</w:t>
            </w:r>
          </w:p>
        </w:tc>
      </w:tr>
    </w:tbl>
    <w:p w:rsidR="00000000" w:rsidRPr="004C6A55" w:rsidP="004C6A55">
      <w:pPr>
        <w:pStyle w:val="BodyText"/>
      </w:pPr>
    </w:p>
    <w:p w:rsidR="00000000" w:rsidRPr="004C6A55" w:rsidP="004C6A55">
      <w:pPr>
        <w:pStyle w:val="AllowPageBreak"/>
      </w:pPr>
    </w:p>
    <w:p w:rsidR="00000000" w:rsidRPr="004C6A55" w:rsidP="004C6A55">
      <w:pPr>
        <w:pStyle w:val="Heading1"/>
      </w:pPr>
      <w:bookmarkStart w:id="8" w:name="O_807521"/>
      <w:bookmarkEnd w:id="8"/>
      <w:r w:rsidRPr="004C6A55">
        <w:t>Unit Mapping Information</w:t>
      </w:r>
    </w:p>
    <w:p w:rsidR="00000000" w:rsidRPr="004C6A55" w:rsidP="003851A7">
      <w:pPr>
        <w:pStyle w:val="BodyText"/>
      </w:pPr>
      <w:r w:rsidRPr="004C6A55">
        <w:t>Equivalent to AURVTW2004 Carry out gas tungsten arc welding procedures</w:t>
      </w:r>
    </w:p>
    <w:p w:rsidR="00000000" w:rsidRPr="004C6A55" w:rsidP="004C6A55">
      <w:pPr>
        <w:pStyle w:val="Heading1"/>
      </w:pPr>
      <w:bookmarkStart w:id="9" w:name="O_807528"/>
      <w:bookmarkEnd w:id="9"/>
      <w:r w:rsidRPr="004C6A55">
        <w:t>Links</w:t>
      </w:r>
    </w:p>
    <w:p w:rsidR="00000000" w:rsidRPr="004C6A55" w:rsidP="003851A7">
      <w:pPr>
        <w:pStyle w:val="BodyText"/>
      </w:pPr>
      <w:r w:rsidRPr="004C6A5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45DF">
        <w:rPr>
          <w:rStyle w:val="Hyperlink"/>
        </w:rPr>
        <w:t>https://vetnet.gov.au/Pages/TrainingDocs.aspx?q=b4278d82-d487-4070-a8c4-78045ec695b1</w:t>
      </w:r>
      <w:r>
        <w:fldChar w:fldCharType="end"/>
      </w:r>
    </w:p>
    <w:p w:rsidR="00000000" w:rsidRPr="004C6A55" w:rsidP="003851A7">
      <w:pPr>
        <w:pStyle w:val="BodyText"/>
        <w:sectPr w:rsidSect="004C6A55">
          <w:headerReference w:type="default" r:id="rId10"/>
          <w:footerReference w:type="default" r:id="rId11"/>
          <w:pgSz w:w="11908" w:h="16833"/>
          <w:pgMar w:top="1702" w:right="1418" w:bottom="1702" w:left="1418" w:header="992" w:footer="992" w:gutter="0"/>
          <w:cols w:space="720"/>
          <w:noEndnote/>
          <w:docGrid w:linePitch="299"/>
        </w:sectPr>
      </w:pPr>
    </w:p>
    <w:p w:rsidR="00000000" w:rsidRPr="004C6A55" w:rsidP="004C6A55">
      <w:pPr>
        <w:pStyle w:val="SuperHeading"/>
      </w:pPr>
      <w:r w:rsidRPr="004C6A55">
        <w:t xml:space="preserve">Assessment </w:t>
      </w:r>
      <w:r w:rsidRPr="004C6A55">
        <w:t>Requirements for AURVTW004 Carry out tungsten inert gas welding</w:t>
      </w:r>
    </w:p>
    <w:p w:rsidR="00000000" w:rsidRPr="004C6A55" w:rsidP="004C6A55">
      <w:pPr>
        <w:pStyle w:val="Heading1"/>
      </w:pPr>
      <w:bookmarkStart w:id="10" w:name="O_807523"/>
      <w:bookmarkEnd w:id="10"/>
      <w:r w:rsidRPr="004C6A55">
        <w:t>Modification History</w:t>
      </w:r>
    </w:p>
    <w:tbl>
      <w:tblPr>
        <w:tblW w:w="9639" w:type="dxa"/>
        <w:tblLayout w:type="fixed"/>
        <w:tblCellMar>
          <w:left w:w="62" w:type="dxa"/>
          <w:right w:w="62" w:type="dxa"/>
        </w:tblCellMar>
        <w:tblLook w:val="0000"/>
      </w:tblPr>
      <w:tblGrid>
        <w:gridCol w:w="2835"/>
        <w:gridCol w:w="6804"/>
      </w:tblGrid>
      <w:tr w:rsidTr="003851A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A55" w:rsidP="004C6A55">
            <w:pPr>
              <w:pStyle w:val="BodyText"/>
            </w:pPr>
            <w:r w:rsidRPr="004C6A5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A55">
            <w:pPr>
              <w:pStyle w:val="BodyText"/>
              <w:rPr>
                <w:lang w:val="en-NZ"/>
              </w:rPr>
            </w:pPr>
            <w:r w:rsidRPr="004C6A55">
              <w:rPr>
                <w:rStyle w:val="SpecialBold"/>
              </w:rPr>
              <w:t>Comment</w:t>
            </w:r>
          </w:p>
        </w:tc>
      </w:tr>
      <w:tr w:rsidTr="003851A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A55">
            <w:pPr>
              <w:pStyle w:val="BodyText"/>
              <w:rPr>
                <w:lang w:val="en-NZ"/>
              </w:rPr>
            </w:pPr>
            <w:r w:rsidRPr="004C6A5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A55" w:rsidP="004C6A55">
            <w:pPr>
              <w:pStyle w:val="BodyText"/>
            </w:pPr>
            <w:r w:rsidRPr="004C6A55">
              <w:t>New unit of competency.</w:t>
            </w:r>
          </w:p>
        </w:tc>
      </w:tr>
    </w:tbl>
    <w:p w:rsidR="00000000" w:rsidRPr="004C6A55" w:rsidP="004C6A55">
      <w:pPr>
        <w:pStyle w:val="BodyText"/>
      </w:pPr>
    </w:p>
    <w:p w:rsidR="00000000" w:rsidRPr="004C6A55" w:rsidP="004C6A55">
      <w:pPr>
        <w:pStyle w:val="AllowPageBreak"/>
      </w:pPr>
    </w:p>
    <w:p w:rsidR="00000000" w:rsidRPr="004C6A55" w:rsidP="004C6A55">
      <w:pPr>
        <w:pStyle w:val="Heading1"/>
      </w:pPr>
      <w:bookmarkStart w:id="11" w:name="O_807524"/>
      <w:bookmarkEnd w:id="11"/>
      <w:r w:rsidRPr="004C6A55">
        <w:t>Performance Evidence</w:t>
      </w:r>
    </w:p>
    <w:p w:rsidR="00000000" w:rsidRPr="004C6A55" w:rsidP="003851A7">
      <w:pPr>
        <w:pStyle w:val="BodyText"/>
      </w:pPr>
      <w:r w:rsidRPr="004C6A55">
        <w:t>Before competency can be determined, indivi</w:t>
      </w:r>
      <w:r w:rsidRPr="004C6A55">
        <w:t>duals must demonstrate they can perform the following according to the standard defined in this unit’s elements, performance criteria, range of conditions and foundation skills:</w:t>
      </w:r>
    </w:p>
    <w:p w:rsidR="00000000" w:rsidRPr="004C6A55" w:rsidP="004C6A55">
      <w:pPr>
        <w:pStyle w:val="ListBullet"/>
      </w:pPr>
      <w:r w:rsidRPr="004C6A55">
        <w:t>carry out tungsten inert gas (TIG) welding to the following material sections</w:t>
      </w:r>
      <w:r w:rsidRPr="004C6A55">
        <w:t>:</w:t>
      </w:r>
    </w:p>
    <w:p w:rsidR="00000000" w:rsidRPr="004C6A55" w:rsidP="004C6A55">
      <w:pPr>
        <w:pStyle w:val="ListBullet2"/>
      </w:pPr>
      <w:r w:rsidRPr="004C6A55">
        <w:t>150 mm long:</w:t>
      </w:r>
    </w:p>
    <w:p w:rsidR="00000000" w:rsidRPr="004C6A55" w:rsidP="004C6A55">
      <w:pPr>
        <w:pStyle w:val="ListBullet3"/>
      </w:pPr>
      <w:r w:rsidRPr="004C6A55">
        <w:t>aluminium</w:t>
      </w:r>
    </w:p>
    <w:p w:rsidR="00000000" w:rsidRPr="004C6A55" w:rsidP="004C6A55">
      <w:pPr>
        <w:pStyle w:val="ListBullet3"/>
      </w:pPr>
      <w:r w:rsidRPr="004C6A55">
        <w:t>steel</w:t>
      </w:r>
    </w:p>
    <w:p w:rsidR="00000000" w:rsidRPr="004C6A55" w:rsidP="004C6A55">
      <w:pPr>
        <w:pStyle w:val="ListBullet3"/>
      </w:pPr>
      <w:r w:rsidRPr="004C6A55">
        <w:t>stainless steel</w:t>
      </w:r>
    </w:p>
    <w:p w:rsidR="00000000" w:rsidRPr="004C6A55" w:rsidP="004C6A55">
      <w:pPr>
        <w:pStyle w:val="ListBullet2"/>
      </w:pPr>
      <w:r w:rsidRPr="004C6A55">
        <w:t>perform the above TIG welding in the following weld positions:</w:t>
      </w:r>
    </w:p>
    <w:p w:rsidR="00000000" w:rsidRPr="004C6A55" w:rsidP="004C6A55">
      <w:pPr>
        <w:pStyle w:val="ListBullet3"/>
      </w:pPr>
      <w:r w:rsidRPr="004C6A55">
        <w:t>butt</w:t>
      </w:r>
    </w:p>
    <w:p w:rsidR="00000000" w:rsidRPr="004C6A55" w:rsidP="004C6A55">
      <w:pPr>
        <w:pStyle w:val="ListBullet3"/>
      </w:pPr>
      <w:r w:rsidRPr="004C6A55">
        <w:t>outside corner</w:t>
      </w:r>
    </w:p>
    <w:p w:rsidR="00000000" w:rsidRPr="004C6A55" w:rsidP="004C6A55">
      <w:pPr>
        <w:pStyle w:val="ListBullet3"/>
      </w:pPr>
      <w:r w:rsidRPr="004C6A55">
        <w:t xml:space="preserve">fillet </w:t>
      </w:r>
    </w:p>
    <w:p w:rsidR="00000000" w:rsidRPr="004C6A55" w:rsidP="004C6A55">
      <w:pPr>
        <w:pStyle w:val="ListBullet3"/>
      </w:pPr>
      <w:r w:rsidRPr="004C6A55">
        <w:t>lap.</w:t>
      </w:r>
    </w:p>
    <w:p w:rsidR="00000000" w:rsidRPr="004C6A55" w:rsidP="004C6A55">
      <w:pPr>
        <w:pStyle w:val="AllowPageBreak"/>
      </w:pPr>
    </w:p>
    <w:p w:rsidR="00000000" w:rsidRPr="004C6A55" w:rsidP="004C6A55">
      <w:pPr>
        <w:pStyle w:val="Heading1"/>
      </w:pPr>
      <w:bookmarkStart w:id="12" w:name="O_807525"/>
      <w:bookmarkEnd w:id="12"/>
      <w:r w:rsidRPr="004C6A55">
        <w:t>Knowledge Evidence</w:t>
      </w:r>
    </w:p>
    <w:p w:rsidR="00000000" w:rsidRPr="004C6A55" w:rsidP="003851A7">
      <w:pPr>
        <w:pStyle w:val="BodyText"/>
      </w:pPr>
      <w:r w:rsidRPr="004C6A55">
        <w:t>Individuals must be able to demonstrate knowledge of:</w:t>
      </w:r>
    </w:p>
    <w:p w:rsidR="00000000" w:rsidRPr="004C6A55" w:rsidP="004C6A55">
      <w:pPr>
        <w:pStyle w:val="ListBullet"/>
      </w:pPr>
      <w:r w:rsidRPr="004C6A55">
        <w:t>work health and safety (WHS), and occupational health and safety (OHS) requirements relating to carrying out TIG welding, including procedures for:</w:t>
      </w:r>
    </w:p>
    <w:p w:rsidR="00000000" w:rsidRPr="004C6A55" w:rsidP="004C6A55">
      <w:pPr>
        <w:pStyle w:val="ListBullet2"/>
      </w:pPr>
      <w:r w:rsidRPr="004C6A55">
        <w:t>selecting and using personal protective equipment (PPE) for TIG welding, including approved welding helmets</w:t>
      </w:r>
    </w:p>
    <w:p w:rsidR="00000000" w:rsidRPr="004C6A55" w:rsidP="004C6A55">
      <w:pPr>
        <w:pStyle w:val="ListBullet2"/>
      </w:pPr>
      <w:r w:rsidRPr="004C6A55">
        <w:t>using specialist welding tools and equipment</w:t>
      </w:r>
    </w:p>
    <w:p w:rsidR="00000000" w:rsidRPr="004C6A55" w:rsidP="004C6A55">
      <w:pPr>
        <w:pStyle w:val="ListBullet2"/>
      </w:pPr>
      <w:r w:rsidRPr="004C6A55">
        <w:t>using protective screens and fume extraction system</w:t>
      </w:r>
    </w:p>
    <w:p w:rsidR="00000000" w:rsidRPr="004C6A55" w:rsidP="004C6A55">
      <w:pPr>
        <w:pStyle w:val="ListBullet2"/>
      </w:pPr>
      <w:r w:rsidRPr="004C6A55">
        <w:t>manually handling vehicle components and TIG equipment</w:t>
      </w:r>
    </w:p>
    <w:p w:rsidR="00000000" w:rsidRPr="004C6A55" w:rsidP="004C6A55">
      <w:pPr>
        <w:pStyle w:val="ListBullet2"/>
      </w:pPr>
      <w:r w:rsidRPr="004C6A55">
        <w:t>identifying and controlling hazards</w:t>
      </w:r>
    </w:p>
    <w:p w:rsidR="00000000" w:rsidRPr="004C6A55" w:rsidP="004C6A55">
      <w:pPr>
        <w:pStyle w:val="ListBullet"/>
      </w:pPr>
      <w:r w:rsidRPr="004C6A55">
        <w:t>environmental requirements, including procedures for trapping, sto</w:t>
      </w:r>
      <w:r w:rsidRPr="004C6A55">
        <w:t>ring and disposing of waste materials</w:t>
      </w:r>
    </w:p>
    <w:p w:rsidR="00000000" w:rsidRPr="004C6A55" w:rsidP="004C6A55">
      <w:pPr>
        <w:pStyle w:val="ListBullet"/>
      </w:pPr>
      <w:r w:rsidRPr="004C6A55">
        <w:t>different types of shielding gases used in TIG welding</w:t>
      </w:r>
    </w:p>
    <w:p w:rsidR="00000000" w:rsidRPr="004C6A55" w:rsidP="004C6A55">
      <w:pPr>
        <w:pStyle w:val="ListBullet"/>
      </w:pPr>
      <w:r w:rsidRPr="004C6A55">
        <w:t>TIG manufacturer operating procedures</w:t>
      </w:r>
    </w:p>
    <w:p w:rsidR="00000000" w:rsidRPr="004C6A55" w:rsidP="004C6A55">
      <w:pPr>
        <w:pStyle w:val="ListBullet"/>
      </w:pPr>
      <w:r w:rsidRPr="004C6A55">
        <w:t>material and consumable preparation techniques, including:</w:t>
      </w:r>
    </w:p>
    <w:p w:rsidR="00000000" w:rsidRPr="004C6A55" w:rsidP="004C6A55">
      <w:pPr>
        <w:pStyle w:val="ListBullet2"/>
      </w:pPr>
      <w:r w:rsidRPr="004C6A55">
        <w:t>aluminium</w:t>
      </w:r>
    </w:p>
    <w:p w:rsidR="00000000" w:rsidRPr="004C6A55" w:rsidP="004C6A55">
      <w:pPr>
        <w:pStyle w:val="ListBullet2"/>
      </w:pPr>
      <w:r w:rsidRPr="004C6A55">
        <w:t>steel</w:t>
      </w:r>
    </w:p>
    <w:p w:rsidR="00000000" w:rsidRPr="004C6A55" w:rsidP="004C6A55">
      <w:pPr>
        <w:pStyle w:val="ListBullet2"/>
      </w:pPr>
      <w:r w:rsidRPr="004C6A55">
        <w:t>stainless steel</w:t>
      </w:r>
    </w:p>
    <w:p w:rsidR="00000000" w:rsidRPr="004C6A55" w:rsidP="004C6A55">
      <w:pPr>
        <w:pStyle w:val="ListBullet"/>
      </w:pPr>
      <w:r w:rsidRPr="004C6A55">
        <w:t>procedures for setting up and op</w:t>
      </w:r>
      <w:r w:rsidRPr="004C6A55">
        <w:t>erating TIG equipment</w:t>
      </w:r>
    </w:p>
    <w:p w:rsidR="00000000" w:rsidRPr="004C6A55" w:rsidP="004C6A55">
      <w:pPr>
        <w:pStyle w:val="ListBullet"/>
      </w:pPr>
      <w:r w:rsidRPr="004C6A55">
        <w:t>methods and techniques for TIG welding, including:</w:t>
      </w:r>
    </w:p>
    <w:p w:rsidR="00000000" w:rsidRPr="004C6A55" w:rsidP="004C6A55">
      <w:pPr>
        <w:pStyle w:val="ListBullet2"/>
      </w:pPr>
      <w:r w:rsidRPr="004C6A55">
        <w:t>welding positions:</w:t>
      </w:r>
    </w:p>
    <w:p w:rsidR="00000000" w:rsidRPr="004C6A55" w:rsidP="004C6A55">
      <w:pPr>
        <w:pStyle w:val="ListBullet3"/>
      </w:pPr>
      <w:r w:rsidRPr="004C6A55">
        <w:t>butt</w:t>
      </w:r>
    </w:p>
    <w:p w:rsidR="00000000" w:rsidRPr="004C6A55" w:rsidP="004C6A55">
      <w:pPr>
        <w:pStyle w:val="ListBullet3"/>
      </w:pPr>
      <w:r w:rsidRPr="004C6A55">
        <w:t>outside corner</w:t>
      </w:r>
    </w:p>
    <w:p w:rsidR="00000000" w:rsidRPr="004C6A55" w:rsidP="004C6A55">
      <w:pPr>
        <w:pStyle w:val="ListBullet3"/>
      </w:pPr>
      <w:r w:rsidRPr="004C6A55">
        <w:t>fillet</w:t>
      </w:r>
    </w:p>
    <w:p w:rsidR="00000000" w:rsidRPr="004C6A55" w:rsidP="004C6A55">
      <w:pPr>
        <w:pStyle w:val="ListBullet3"/>
      </w:pPr>
      <w:r w:rsidRPr="004C6A55">
        <w:t>lap</w:t>
      </w:r>
    </w:p>
    <w:p w:rsidR="00000000" w:rsidRPr="004C6A55" w:rsidP="004C6A55">
      <w:pPr>
        <w:pStyle w:val="ListBullet2"/>
      </w:pPr>
      <w:r w:rsidRPr="004C6A55">
        <w:t>weld distortion and distortion control techniques</w:t>
      </w:r>
    </w:p>
    <w:p w:rsidR="00000000" w:rsidRPr="004C6A55" w:rsidP="004C6A55">
      <w:pPr>
        <w:pStyle w:val="ListBullet2"/>
      </w:pPr>
      <w:r w:rsidRPr="004C6A55">
        <w:t>TIG testing procedures, including procedures for visual or non-destructive weld testing</w:t>
      </w:r>
    </w:p>
    <w:p w:rsidR="00000000" w:rsidRPr="004C6A55" w:rsidP="004C6A55">
      <w:pPr>
        <w:pStyle w:val="ListBullet"/>
      </w:pPr>
      <w:r w:rsidRPr="004C6A55">
        <w:t>procedures for identifying and rectifying weld defects, including:</w:t>
      </w:r>
    </w:p>
    <w:p w:rsidR="00000000" w:rsidRPr="004C6A55" w:rsidP="004C6A55">
      <w:pPr>
        <w:pStyle w:val="ListBullet2"/>
      </w:pPr>
      <w:r w:rsidRPr="004C6A55">
        <w:t>lack of penetration</w:t>
      </w:r>
    </w:p>
    <w:p w:rsidR="00000000" w:rsidRPr="004C6A55" w:rsidP="004C6A55">
      <w:pPr>
        <w:pStyle w:val="ListBullet2"/>
      </w:pPr>
      <w:r w:rsidRPr="004C6A55">
        <w:t>excessive weld build-up</w:t>
      </w:r>
    </w:p>
    <w:p w:rsidR="00000000" w:rsidRPr="004C6A55" w:rsidP="004C6A55">
      <w:pPr>
        <w:pStyle w:val="ListBullet2"/>
      </w:pPr>
      <w:r w:rsidRPr="004C6A55">
        <w:t>excess heat</w:t>
      </w:r>
    </w:p>
    <w:p w:rsidR="00000000" w:rsidRPr="004C6A55" w:rsidP="004C6A55">
      <w:pPr>
        <w:pStyle w:val="ListBullet2"/>
      </w:pPr>
      <w:r w:rsidRPr="004C6A55">
        <w:t>undercut</w:t>
      </w:r>
    </w:p>
    <w:p w:rsidR="00000000" w:rsidRPr="004C6A55" w:rsidP="004C6A55">
      <w:pPr>
        <w:pStyle w:val="ListBullet2"/>
      </w:pPr>
      <w:r w:rsidRPr="004C6A55">
        <w:t>heat affected zone</w:t>
      </w:r>
    </w:p>
    <w:p w:rsidR="00000000" w:rsidRPr="004C6A55" w:rsidP="004C6A55">
      <w:pPr>
        <w:pStyle w:val="ListBullet"/>
      </w:pPr>
      <w:r w:rsidRPr="004C6A55">
        <w:t xml:space="preserve">procedures for protecting vehicle electronics during TIG welding </w:t>
      </w:r>
    </w:p>
    <w:p w:rsidR="00000000" w:rsidRPr="004C6A55" w:rsidP="004C6A55">
      <w:pPr>
        <w:pStyle w:val="ListBullet"/>
      </w:pPr>
      <w:r w:rsidRPr="004C6A55">
        <w:t>procedures for final inspection of welded components.</w:t>
      </w:r>
    </w:p>
    <w:p w:rsidR="00000000" w:rsidRPr="004C6A55" w:rsidP="004C6A55">
      <w:pPr>
        <w:pStyle w:val="AllowPageBreak"/>
      </w:pPr>
    </w:p>
    <w:p w:rsidR="00000000" w:rsidRPr="004C6A55" w:rsidP="004C6A55">
      <w:pPr>
        <w:pStyle w:val="Heading1"/>
      </w:pPr>
      <w:bookmarkStart w:id="13" w:name="O_807526"/>
      <w:bookmarkEnd w:id="13"/>
      <w:r w:rsidRPr="004C6A55">
        <w:t>Assessment Conditions</w:t>
      </w:r>
    </w:p>
    <w:p w:rsidR="00000000" w:rsidRPr="004C6A55" w:rsidP="003851A7">
      <w:pPr>
        <w:pStyle w:val="BodyText"/>
      </w:pPr>
      <w:r w:rsidRPr="004C6A55">
        <w:t>Assessors must satisfy NVR/AQTF assessor requirements.</w:t>
      </w:r>
    </w:p>
    <w:p w:rsidR="00000000" w:rsidRPr="004C6A55" w:rsidP="003851A7">
      <w:pPr>
        <w:pStyle w:val="BodyText"/>
      </w:pPr>
      <w:r w:rsidRPr="004C6A55">
        <w:t>Competency is to be assessed in the workp</w:t>
      </w:r>
      <w:r w:rsidRPr="004C6A55">
        <w:t>lace or a simulated environment that accurately reflects performance in a real workplace setting.</w:t>
      </w:r>
    </w:p>
    <w:p w:rsidR="00000000" w:rsidRPr="004C6A55" w:rsidP="003851A7">
      <w:pPr>
        <w:pStyle w:val="BodyText"/>
      </w:pPr>
      <w:r w:rsidRPr="004C6A55">
        <w:t>Assessment must include direct observation of tasks.</w:t>
      </w:r>
    </w:p>
    <w:p w:rsidR="00000000" w:rsidRPr="004C6A55" w:rsidP="003851A7">
      <w:pPr>
        <w:pStyle w:val="BodyText"/>
      </w:pPr>
      <w:r w:rsidRPr="004C6A55">
        <w:t xml:space="preserve">Where assessment of competency includes third-party evidence, individuals must </w:t>
      </w:r>
      <w:r w:rsidRPr="004C6A55">
        <w:t>provide evidence that links them to TIG welding that they have carried out, e.g. work orders.</w:t>
      </w:r>
    </w:p>
    <w:p w:rsidR="00000000" w:rsidRPr="004C6A55" w:rsidP="003851A7">
      <w:pPr>
        <w:pStyle w:val="BodyText"/>
      </w:pPr>
      <w:r w:rsidRPr="004C6A55">
        <w:t>Assessors must verify performance evidence through questioning on skills and knowledge to ensure correct interpretation and application.</w:t>
      </w:r>
    </w:p>
    <w:p w:rsidR="00000000" w:rsidRPr="004C6A55" w:rsidP="003851A7">
      <w:pPr>
        <w:pStyle w:val="BodyText"/>
      </w:pPr>
      <w:r w:rsidRPr="004C6A55">
        <w:t>The following resources</w:t>
      </w:r>
      <w:r w:rsidRPr="004C6A55">
        <w:t xml:space="preserve"> must be made available:</w:t>
      </w:r>
    </w:p>
    <w:p w:rsidR="00000000" w:rsidRPr="004C6A55" w:rsidP="004C6A55">
      <w:pPr>
        <w:pStyle w:val="ListBullet"/>
      </w:pPr>
      <w:r w:rsidRPr="004C6A55">
        <w:t>automotive repair workplace or simulated workplace</w:t>
      </w:r>
    </w:p>
    <w:p w:rsidR="00000000" w:rsidRPr="004C6A55" w:rsidP="004C6A55">
      <w:pPr>
        <w:pStyle w:val="ListBullet"/>
      </w:pPr>
      <w:r w:rsidRPr="004C6A55">
        <w:t>workplace instructions</w:t>
      </w:r>
    </w:p>
    <w:p w:rsidR="00000000" w:rsidRPr="004C6A55" w:rsidP="004C6A55">
      <w:pPr>
        <w:pStyle w:val="ListBullet"/>
      </w:pPr>
      <w:r w:rsidRPr="004C6A55">
        <w:t>TIG equipment operating instructions</w:t>
      </w:r>
    </w:p>
    <w:p w:rsidR="00000000" w:rsidRPr="004C6A55" w:rsidP="004C6A55">
      <w:pPr>
        <w:pStyle w:val="ListBullet"/>
      </w:pPr>
      <w:r w:rsidRPr="004C6A55">
        <w:t>PPE required for TIG welding</w:t>
      </w:r>
    </w:p>
    <w:p w:rsidR="00000000" w:rsidRPr="004C6A55" w:rsidP="004C6A55">
      <w:pPr>
        <w:pStyle w:val="ListBullet"/>
      </w:pPr>
      <w:r w:rsidRPr="004C6A55">
        <w:t>protective screens and fume extraction system</w:t>
      </w:r>
    </w:p>
    <w:p w:rsidR="00000000" w:rsidRPr="004C6A55" w:rsidP="004C6A55">
      <w:pPr>
        <w:pStyle w:val="ListBullet"/>
      </w:pPr>
      <w:r w:rsidRPr="004C6A55">
        <w:t>TIG welder and shielding gases</w:t>
      </w:r>
    </w:p>
    <w:p w:rsidR="00000000" w:rsidRPr="004C6A55" w:rsidP="004C6A55">
      <w:pPr>
        <w:pStyle w:val="ListBullet"/>
      </w:pPr>
      <w:r w:rsidRPr="004C6A55">
        <w:t>TIG consumabl</w:t>
      </w:r>
      <w:r w:rsidRPr="004C6A55">
        <w:t>es</w:t>
      </w:r>
    </w:p>
    <w:p w:rsidR="00000000" w:rsidRPr="004C6A55" w:rsidP="004C6A55">
      <w:pPr>
        <w:pStyle w:val="ListBullet"/>
      </w:pPr>
      <w:r w:rsidRPr="004C6A55">
        <w:t xml:space="preserve">materials specified in the performance evidence requiring TIG welding </w:t>
      </w:r>
    </w:p>
    <w:p w:rsidR="00000000" w:rsidRPr="004C6A55" w:rsidP="004C6A55">
      <w:pPr>
        <w:pStyle w:val="ListBullet"/>
      </w:pPr>
      <w:r w:rsidRPr="004C6A55">
        <w:t>tools, equipment and materials appropriate for carrying out TIG welding.</w:t>
      </w:r>
    </w:p>
    <w:p w:rsidR="00000000" w:rsidRPr="004C6A55" w:rsidP="004C6A55">
      <w:pPr>
        <w:pStyle w:val="AllowPageBreak"/>
      </w:pPr>
    </w:p>
    <w:p w:rsidR="00000000" w:rsidRPr="004C6A55" w:rsidP="004C6A55">
      <w:pPr>
        <w:pStyle w:val="Heading1"/>
      </w:pPr>
      <w:bookmarkStart w:id="14" w:name="O_807529"/>
      <w:bookmarkEnd w:id="14"/>
      <w:r w:rsidRPr="004C6A55">
        <w:t>Links</w:t>
      </w:r>
    </w:p>
    <w:p w:rsidR="00000000" w:rsidRPr="004C6A55" w:rsidP="003851A7">
      <w:pPr>
        <w:pStyle w:val="BodyText"/>
      </w:pPr>
      <w:r w:rsidRPr="004C6A5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45DF">
        <w:rPr>
          <w:rStyle w:val="Hyperlink"/>
        </w:rPr>
        <w:t>https://vetnet.gov.au/Pages/TrainingDocs.aspx?q=b4278d82-d487-4070-a8c4-78045ec695b1</w:t>
      </w:r>
      <w:r>
        <w:fldChar w:fldCharType="end"/>
      </w:r>
    </w:p>
    <w:p w:rsidR="00000000" w:rsidRPr="004C6A55" w:rsidP="003851A7">
      <w:pPr>
        <w:pStyle w:val="BodyText"/>
      </w:pPr>
      <w:r w:rsidRPr="004C6A5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45DF">
        <w:rPr>
          <w:rStyle w:val="Hyperlink"/>
        </w:rPr>
        <w:t>https://vetnet.gov.au/Pages/TrainingDocs.aspx?q=b4278d82-d487-4070-a8c4-78045ec695b1</w:t>
      </w:r>
      <w:r>
        <w:fldChar w:fldCharType="end"/>
      </w:r>
    </w:p>
    <w:p w:rsidR="00000000" w:rsidRPr="004C6A55" w:rsidP="004C6A55"/>
    <w:sectPr w:rsidSect="004C6A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55" w:rsidRPr="003851A7" w:rsidP="00385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A7" w:rsidP="004C6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851A7" w:rsidP="004C6A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851A7" w:rsidP="004C6A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55" w:rsidP="004C6A55">
    <w:pPr>
      <w:pStyle w:val="Footer"/>
      <w:framePr w:wrap="around"/>
    </w:pPr>
    <w:r>
      <w:fldChar w:fldCharType="begin"/>
    </w:r>
    <w:r>
      <w:instrText xml:space="preserve"> DOCPROPERTY  Subject  \* MERGEFORMAT </w:instrText>
    </w:r>
    <w:r>
      <w:fldChar w:fldCharType="separate"/>
    </w:r>
    <w:r w:rsidR="003851A7">
      <w:t>Approved</w:t>
    </w:r>
    <w:r w:rsidR="003851A7">
      <w:fldChar w:fldCharType="end"/>
    </w:r>
    <w:r>
      <w:tab/>
      <w:t xml:space="preserve">Page </w:t>
    </w:r>
    <w:r>
      <w:fldChar w:fldCharType="begin"/>
    </w:r>
    <w:r>
      <w:instrText xml:space="preserve"> PAGE  \* Arabic  \* MERGEFORMAT </w:instrText>
    </w:r>
    <w:r>
      <w:fldChar w:fldCharType="separate"/>
    </w:r>
    <w:r w:rsidR="003851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51A7">
      <w:rPr>
        <w:noProof/>
      </w:rPr>
      <w:t>6</w:t>
    </w:r>
    <w:r>
      <w:rPr>
        <w:noProof/>
      </w:rPr>
      <w:fldChar w:fldCharType="end"/>
    </w:r>
  </w:p>
  <w:p w:rsidR="004C6A55" w:rsidP="004C6A55">
    <w:pPr>
      <w:pStyle w:val="Footer"/>
      <w:framePr w:wrap="around"/>
    </w:pPr>
    <w:r>
      <w:t xml:space="preserve">© Commonwealth of Australia, </w:t>
    </w:r>
    <w:r>
      <w:fldChar w:fldCharType="begin"/>
    </w:r>
    <w:r>
      <w:instrText xml:space="preserve"> DATE  \@ "yyyy"  \* MERGEFORMAT </w:instrText>
    </w:r>
    <w:r>
      <w:fldChar w:fldCharType="separate"/>
    </w:r>
    <w:r w:rsidR="003851A7">
      <w:rPr>
        <w:noProof/>
      </w:rPr>
      <w:t>2025</w:t>
    </w:r>
    <w:r>
      <w:fldChar w:fldCharType="end"/>
    </w:r>
    <w:r>
      <w:tab/>
    </w:r>
    <w:r>
      <w:fldChar w:fldCharType="begin"/>
    </w:r>
    <w:r>
      <w:instrText xml:space="preserve"> DOCPROPERTY  Author  \* MERGEFORMAT </w:instrText>
    </w:r>
    <w:r>
      <w:fldChar w:fldCharType="separate"/>
    </w:r>
    <w:r w:rsidR="003851A7">
      <w:t>Mining and Automotive Skills Alliance</w:t>
    </w:r>
    <w:r w:rsidR="003851A7">
      <w:fldChar w:fldCharType="end"/>
    </w:r>
  </w:p>
  <w:p w:rsidR="004C6A55" w:rsidP="004C6A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A55" w:rsidRPr="003851A7" w:rsidP="00385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A7" w:rsidRPr="002D2AF8" w:rsidP="004C6A55">
    <w:pPr>
      <w:pStyle w:val="Header"/>
      <w:framePr w:wrap="around"/>
    </w:pPr>
    <w:r>
      <w:fldChar w:fldCharType="begin"/>
    </w:r>
    <w:r>
      <w:instrText xml:space="preserve"> TITLE   \* MERGEFORMAT </w:instrText>
    </w:r>
    <w:r>
      <w:fldChar w:fldCharType="separate"/>
    </w:r>
    <w:r>
      <w:t>AURVTW004 Carry out tungsten inert gas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51A7" w:rsidP="004C6A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55" w:rsidRPr="002D2AF8" w:rsidP="004C6A55">
    <w:pPr>
      <w:pStyle w:val="Header"/>
      <w:framePr w:wrap="around"/>
    </w:pPr>
    <w:r>
      <w:fldChar w:fldCharType="begin"/>
    </w:r>
    <w:r>
      <w:instrText xml:space="preserve"> TITLE   \* MERGEFORMAT </w:instrText>
    </w:r>
    <w:r>
      <w:fldChar w:fldCharType="separate"/>
    </w:r>
    <w:r w:rsidR="003851A7">
      <w:t>AURVTW004 Carry out tungsten inert gas welding</w:t>
    </w:r>
    <w:r w:rsidR="003851A7">
      <w:fldChar w:fldCharType="end"/>
    </w:r>
    <w:r>
      <w:tab/>
      <w:t xml:space="preserve">Date this document was generated: </w:t>
    </w:r>
    <w:r>
      <w:fldChar w:fldCharType="begin"/>
    </w:r>
    <w:r>
      <w:instrText xml:space="preserve"> CREATEDATE  \@ "d MMMM yyyy"  \* MERGEFORMAT </w:instrText>
    </w:r>
    <w:r>
      <w:fldChar w:fldCharType="separate"/>
    </w:r>
    <w:r w:rsidR="003851A7">
      <w:rPr>
        <w:noProof/>
      </w:rPr>
      <w:t>2 March 2025</w:t>
    </w:r>
    <w:r>
      <w:fldChar w:fldCharType="end"/>
    </w:r>
  </w:p>
  <w:p w:rsidR="004C6A55" w:rsidP="004C6A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60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B4B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AA5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A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A55"/>
    <w:pPr>
      <w:spacing w:before="360" w:after="60"/>
      <w:outlineLvl w:val="0"/>
    </w:pPr>
    <w:rPr>
      <w:sz w:val="32"/>
    </w:rPr>
  </w:style>
  <w:style w:type="paragraph" w:styleId="Heading2">
    <w:name w:val="heading 2"/>
    <w:basedOn w:val="HeadingBase"/>
    <w:next w:val="BodyText"/>
    <w:link w:val="Heading2Char"/>
    <w:qFormat/>
    <w:rsid w:val="004C6A55"/>
    <w:pPr>
      <w:keepLines/>
      <w:spacing w:before="240" w:after="120"/>
      <w:outlineLvl w:val="1"/>
    </w:pPr>
    <w:rPr>
      <w:sz w:val="28"/>
      <w:szCs w:val="40"/>
    </w:rPr>
  </w:style>
  <w:style w:type="paragraph" w:styleId="Heading3">
    <w:name w:val="heading 3"/>
    <w:basedOn w:val="HeadingBase"/>
    <w:next w:val="BodyText"/>
    <w:link w:val="Heading3Char"/>
    <w:qFormat/>
    <w:rsid w:val="004C6A55"/>
    <w:pPr>
      <w:spacing w:before="180" w:after="120"/>
      <w:outlineLvl w:val="2"/>
    </w:pPr>
    <w:rPr>
      <w:spacing w:val="-10"/>
      <w:kern w:val="32"/>
    </w:rPr>
  </w:style>
  <w:style w:type="paragraph" w:styleId="Heading4">
    <w:name w:val="heading 4"/>
    <w:basedOn w:val="HeadingBase"/>
    <w:next w:val="BodyText"/>
    <w:link w:val="Heading4Char"/>
    <w:qFormat/>
    <w:rsid w:val="004C6A55"/>
    <w:pPr>
      <w:spacing w:before="160" w:after="120"/>
      <w:outlineLvl w:val="3"/>
    </w:pPr>
    <w:rPr>
      <w:sz w:val="22"/>
    </w:rPr>
  </w:style>
  <w:style w:type="paragraph" w:styleId="Heading5">
    <w:name w:val="heading 5"/>
    <w:basedOn w:val="HeadingBase"/>
    <w:next w:val="Normal"/>
    <w:link w:val="Heading5Char"/>
    <w:qFormat/>
    <w:rsid w:val="004C6A55"/>
    <w:pPr>
      <w:spacing w:before="80"/>
      <w:outlineLvl w:val="4"/>
    </w:pPr>
    <w:rPr>
      <w:color w:val="918585"/>
      <w:sz w:val="20"/>
    </w:rPr>
  </w:style>
  <w:style w:type="paragraph" w:styleId="Heading6">
    <w:name w:val="heading 6"/>
    <w:basedOn w:val="HeadingBase"/>
    <w:next w:val="Normal"/>
    <w:link w:val="Heading6Char"/>
    <w:qFormat/>
    <w:rsid w:val="004C6A55"/>
    <w:pPr>
      <w:spacing w:before="60"/>
      <w:outlineLvl w:val="5"/>
    </w:pPr>
    <w:rPr>
      <w:color w:val="918585"/>
      <w:sz w:val="20"/>
    </w:rPr>
  </w:style>
  <w:style w:type="paragraph" w:styleId="Heading7">
    <w:name w:val="heading 7"/>
    <w:basedOn w:val="Normal"/>
    <w:next w:val="Normal"/>
    <w:link w:val="Heading7Char"/>
    <w:qFormat/>
    <w:rsid w:val="004C6A55"/>
    <w:pPr>
      <w:ind w:left="720"/>
      <w:outlineLvl w:val="6"/>
    </w:pPr>
    <w:rPr>
      <w:i/>
    </w:rPr>
  </w:style>
  <w:style w:type="paragraph" w:styleId="Heading8">
    <w:name w:val="heading 8"/>
    <w:basedOn w:val="Normal"/>
    <w:next w:val="Normal"/>
    <w:link w:val="Heading8Char"/>
    <w:qFormat/>
    <w:rsid w:val="004C6A55"/>
    <w:pPr>
      <w:ind w:left="720"/>
      <w:outlineLvl w:val="7"/>
    </w:pPr>
    <w:rPr>
      <w:i/>
    </w:rPr>
  </w:style>
  <w:style w:type="paragraph" w:styleId="Heading9">
    <w:name w:val="heading 9"/>
    <w:basedOn w:val="Normal"/>
    <w:next w:val="Normal"/>
    <w:link w:val="Heading9Char"/>
    <w:qFormat/>
    <w:rsid w:val="004C6A55"/>
    <w:pPr>
      <w:ind w:left="720"/>
      <w:outlineLvl w:val="8"/>
    </w:pPr>
    <w:rPr>
      <w:i/>
    </w:rPr>
  </w:style>
  <w:style w:type="character" w:default="1" w:styleId="DefaultParagraphFont">
    <w:name w:val="Default Paragraph Font"/>
    <w:uiPriority w:val="1"/>
    <w:unhideWhenUsed/>
    <w:rsid w:val="004C6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A55"/>
  </w:style>
  <w:style w:type="character" w:customStyle="1" w:styleId="Heading1Char">
    <w:name w:val="Heading 1 Char"/>
    <w:basedOn w:val="DefaultParagraphFont"/>
    <w:link w:val="Heading1"/>
    <w:rsid w:val="004C6A55"/>
    <w:rPr>
      <w:rFonts w:ascii="Times New Roman" w:eastAsia="Times New Roman" w:hAnsi="Times New Roman" w:cs="Times New Roman"/>
      <w:b/>
      <w:sz w:val="32"/>
      <w:szCs w:val="20"/>
      <w:lang w:eastAsia="en-US"/>
    </w:rPr>
  </w:style>
  <w:style w:type="paragraph" w:styleId="BodyText">
    <w:name w:val="Body Text"/>
    <w:basedOn w:val="Normal"/>
    <w:link w:val="BodyTextChar"/>
    <w:rsid w:val="004C6A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A55"/>
    <w:rPr>
      <w:rFonts w:ascii="Times New Roman" w:eastAsia="Times New Roman" w:hAnsi="Times New Roman" w:cs="Times New Roman"/>
      <w:sz w:val="24"/>
      <w:lang w:eastAsia="en-US"/>
    </w:rPr>
  </w:style>
  <w:style w:type="paragraph" w:styleId="List">
    <w:name w:val="List"/>
    <w:basedOn w:val="BodyText"/>
    <w:next w:val="BodyText"/>
    <w:rsid w:val="004C6A55"/>
    <w:pPr>
      <w:tabs>
        <w:tab w:val="left" w:pos="340"/>
      </w:tabs>
      <w:spacing w:before="60" w:after="60"/>
      <w:ind w:left="340" w:hanging="340"/>
    </w:pPr>
  </w:style>
  <w:style w:type="paragraph" w:styleId="ListBullet">
    <w:name w:val="List Bullet"/>
    <w:basedOn w:val="List"/>
    <w:rsid w:val="004C6A55"/>
    <w:pPr>
      <w:numPr>
        <w:numId w:val="13"/>
      </w:numPr>
      <w:tabs>
        <w:tab w:val="clear" w:pos="340"/>
      </w:tabs>
      <w:spacing w:before="40" w:after="40"/>
    </w:pPr>
  </w:style>
  <w:style w:type="character" w:customStyle="1" w:styleId="SpecialBold">
    <w:name w:val="Special Bold"/>
    <w:basedOn w:val="DefaultParagraphFont"/>
    <w:rsid w:val="004C6A55"/>
    <w:rPr>
      <w:b/>
      <w:spacing w:val="0"/>
    </w:rPr>
  </w:style>
  <w:style w:type="paragraph" w:styleId="ListBullet2">
    <w:name w:val="List Bullet 2"/>
    <w:basedOn w:val="List2"/>
    <w:rsid w:val="004C6A55"/>
    <w:pPr>
      <w:numPr>
        <w:numId w:val="14"/>
      </w:numPr>
      <w:tabs>
        <w:tab w:val="clear" w:pos="680"/>
      </w:tabs>
    </w:pPr>
  </w:style>
  <w:style w:type="paragraph" w:customStyle="1" w:styleId="SuperHeading">
    <w:name w:val="SuperHeading"/>
    <w:basedOn w:val="Normal"/>
    <w:rsid w:val="004C6A55"/>
    <w:pPr>
      <w:spacing w:before="240" w:after="120"/>
      <w:outlineLvl w:val="0"/>
    </w:pPr>
    <w:rPr>
      <w:rFonts w:ascii="Times New Roman" w:hAnsi="Times New Roman"/>
      <w:b/>
      <w:sz w:val="32"/>
    </w:rPr>
  </w:style>
  <w:style w:type="paragraph" w:customStyle="1" w:styleId="AllowPageBreak">
    <w:name w:val="AllowPageBreak"/>
    <w:rsid w:val="004C6A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6A55"/>
    <w:pPr>
      <w:numPr>
        <w:numId w:val="3"/>
      </w:numPr>
      <w:tabs>
        <w:tab w:val="clear" w:pos="1021"/>
      </w:tabs>
      <w:ind w:left="1037" w:hanging="357"/>
    </w:pPr>
  </w:style>
  <w:style w:type="character" w:customStyle="1" w:styleId="BoldandItalics">
    <w:name w:val="Bold and Italics"/>
    <w:qFormat/>
    <w:rsid w:val="004C6A55"/>
    <w:rPr>
      <w:b/>
      <w:i/>
      <w:u w:val="none"/>
    </w:rPr>
  </w:style>
  <w:style w:type="character" w:customStyle="1" w:styleId="Heading2Char">
    <w:name w:val="Heading 2 Char"/>
    <w:basedOn w:val="DefaultParagraphFont"/>
    <w:link w:val="Heading2"/>
    <w:rsid w:val="004C6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A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A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A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A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A55"/>
    <w:rPr>
      <w:rFonts w:ascii="Courier New" w:eastAsia="Times New Roman" w:hAnsi="Courier New" w:cs="Times New Roman"/>
      <w:i/>
      <w:szCs w:val="20"/>
      <w:lang w:eastAsia="en-US"/>
    </w:rPr>
  </w:style>
  <w:style w:type="paragraph" w:customStyle="1" w:styleId="HeadingBase">
    <w:name w:val="Heading Base"/>
    <w:rsid w:val="004C6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A55"/>
    <w:pPr>
      <w:tabs>
        <w:tab w:val="right" w:leader="dot" w:pos="9072"/>
      </w:tabs>
      <w:ind w:left="567"/>
    </w:pPr>
    <w:rPr>
      <w:szCs w:val="22"/>
    </w:rPr>
  </w:style>
  <w:style w:type="paragraph" w:customStyle="1" w:styleId="TOCBase">
    <w:name w:val="TOC Base"/>
    <w:rsid w:val="004C6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A55"/>
    <w:pPr>
      <w:tabs>
        <w:tab w:val="right" w:leader="dot" w:pos="9072"/>
      </w:tabs>
      <w:spacing w:before="40" w:after="40"/>
      <w:ind w:left="284"/>
    </w:pPr>
    <w:rPr>
      <w:rFonts w:ascii="Times New Roman" w:hAnsi="Times New Roman"/>
    </w:rPr>
  </w:style>
  <w:style w:type="paragraph" w:styleId="TOC1">
    <w:name w:val="toc 1"/>
    <w:basedOn w:val="TOCBase"/>
    <w:next w:val="Normal"/>
    <w:rsid w:val="004C6A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A55"/>
    <w:rPr>
      <w:rFonts w:ascii="Times New Roman" w:eastAsia="Times New Roman" w:hAnsi="Times New Roman" w:cs="Times New Roman"/>
      <w:sz w:val="16"/>
      <w:lang w:eastAsia="en-US"/>
    </w:rPr>
  </w:style>
  <w:style w:type="paragraph" w:styleId="Title">
    <w:name w:val="Title"/>
    <w:basedOn w:val="HeadingBase"/>
    <w:link w:val="TitleChar"/>
    <w:qFormat/>
    <w:rsid w:val="004C6A55"/>
    <w:pPr>
      <w:spacing w:before="5040"/>
      <w:jc w:val="center"/>
    </w:pPr>
    <w:rPr>
      <w:sz w:val="48"/>
      <w:szCs w:val="72"/>
      <w:lang w:val="en-US"/>
    </w:rPr>
  </w:style>
  <w:style w:type="character" w:customStyle="1" w:styleId="TitleChar">
    <w:name w:val="Title Char"/>
    <w:basedOn w:val="DefaultParagraphFont"/>
    <w:link w:val="Title"/>
    <w:rsid w:val="004C6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A55"/>
    <w:pPr>
      <w:tabs>
        <w:tab w:val="left" w:pos="3600"/>
        <w:tab w:val="left" w:pos="3958"/>
      </w:tabs>
    </w:pPr>
  </w:style>
  <w:style w:type="paragraph" w:customStyle="1" w:styleId="Note">
    <w:name w:val="Note"/>
    <w:basedOn w:val="BodyText"/>
    <w:rsid w:val="004C6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A55"/>
    <w:pPr>
      <w:framePr w:wrap="auto" w:hAnchor="text" w:y="6049"/>
    </w:pPr>
    <w:rPr>
      <w:color w:val="000000"/>
      <w:sz w:val="40"/>
    </w:rPr>
  </w:style>
  <w:style w:type="paragraph" w:customStyle="1" w:styleId="TOCTitle">
    <w:name w:val="TOCTitle"/>
    <w:basedOn w:val="Heading1"/>
    <w:rsid w:val="004C6A55"/>
    <w:pPr>
      <w:spacing w:after="240"/>
      <w:jc w:val="center"/>
      <w:outlineLvl w:val="9"/>
    </w:pPr>
    <w:rPr>
      <w:caps/>
    </w:rPr>
  </w:style>
  <w:style w:type="paragraph" w:customStyle="1" w:styleId="Version">
    <w:name w:val="Version"/>
    <w:rsid w:val="004C6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A55"/>
    <w:pPr>
      <w:keepNext w:val="0"/>
      <w:tabs>
        <w:tab w:val="right" w:pos="4176"/>
      </w:tabs>
      <w:ind w:left="198" w:hanging="198"/>
    </w:pPr>
    <w:rPr>
      <w:rFonts w:ascii="Garamond" w:hAnsi="Garamond"/>
    </w:rPr>
  </w:style>
  <w:style w:type="paragraph" w:styleId="IndexHeading">
    <w:name w:val="index heading"/>
    <w:basedOn w:val="Normal"/>
    <w:next w:val="Index1"/>
    <w:semiHidden/>
    <w:rsid w:val="004C6A55"/>
    <w:pPr>
      <w:spacing w:before="120" w:after="120"/>
    </w:pPr>
    <w:rPr>
      <w:rFonts w:ascii="Arial" w:hAnsi="Arial"/>
      <w:b/>
      <w:color w:val="918585"/>
      <w:sz w:val="24"/>
    </w:rPr>
  </w:style>
  <w:style w:type="paragraph" w:styleId="Header">
    <w:name w:val="header"/>
    <w:basedOn w:val="Normal"/>
    <w:link w:val="HeaderChar"/>
    <w:rsid w:val="004C6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A55"/>
    <w:rPr>
      <w:rFonts w:ascii="Times New Roman" w:eastAsia="Times New Roman" w:hAnsi="Times New Roman" w:cs="Times New Roman"/>
      <w:sz w:val="16"/>
      <w:szCs w:val="20"/>
      <w:lang w:val="en-GB" w:eastAsia="en-US"/>
    </w:rPr>
  </w:style>
  <w:style w:type="paragraph" w:customStyle="1" w:styleId="Chapter">
    <w:name w:val="Chapter"/>
    <w:basedOn w:val="Normal"/>
    <w:rsid w:val="004C6A55"/>
    <w:pPr>
      <w:spacing w:before="240"/>
    </w:pPr>
    <w:rPr>
      <w:rFonts w:ascii="Times New Roman" w:hAnsi="Times New Roman"/>
      <w:smallCaps/>
      <w:spacing w:val="80"/>
      <w:sz w:val="28"/>
    </w:rPr>
  </w:style>
  <w:style w:type="paragraph" w:customStyle="1" w:styleId="InChapter">
    <w:name w:val="InChapter"/>
    <w:basedOn w:val="Heading3"/>
    <w:rsid w:val="004C6A55"/>
    <w:pPr>
      <w:spacing w:after="240"/>
      <w:outlineLvl w:val="9"/>
    </w:pPr>
    <w:rPr>
      <w:noProof/>
    </w:rPr>
  </w:style>
  <w:style w:type="paragraph" w:styleId="Index2">
    <w:name w:val="index 2"/>
    <w:basedOn w:val="Normal"/>
    <w:next w:val="Normal"/>
    <w:semiHidden/>
    <w:rsid w:val="004C6A55"/>
    <w:pPr>
      <w:tabs>
        <w:tab w:val="right" w:pos="4176"/>
      </w:tabs>
      <w:ind w:left="568" w:hanging="284"/>
    </w:pPr>
    <w:rPr>
      <w:rFonts w:ascii="Garamond" w:hAnsi="Garamond"/>
    </w:rPr>
  </w:style>
  <w:style w:type="paragraph" w:customStyle="1" w:styleId="Byline">
    <w:name w:val="Byline"/>
    <w:rsid w:val="004C6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A55"/>
    <w:pPr>
      <w:tabs>
        <w:tab w:val="clear" w:pos="3600"/>
        <w:tab w:val="clear" w:pos="3958"/>
      </w:tabs>
      <w:jc w:val="right"/>
    </w:pPr>
  </w:style>
  <w:style w:type="character" w:styleId="Emphasis">
    <w:name w:val="Emphasis"/>
    <w:basedOn w:val="DefaultParagraphFont"/>
    <w:qFormat/>
    <w:rsid w:val="004C6A55"/>
    <w:rPr>
      <w:i/>
    </w:rPr>
  </w:style>
  <w:style w:type="paragraph" w:styleId="Caption">
    <w:name w:val="caption"/>
    <w:basedOn w:val="BodyText"/>
    <w:next w:val="Normal"/>
    <w:qFormat/>
    <w:rsid w:val="004C6A55"/>
    <w:pPr>
      <w:framePr w:w="2268" w:hSpace="181" w:vSpace="181" w:wrap="around" w:vAnchor="text" w:hAnchor="page" w:x="1135" w:y="285" w:anchorLock="1"/>
    </w:pPr>
    <w:rPr>
      <w:i/>
    </w:rPr>
  </w:style>
  <w:style w:type="paragraph" w:customStyle="1" w:styleId="MiniTOCTitle">
    <w:name w:val="MiniTOCTitle"/>
    <w:basedOn w:val="Heading4"/>
    <w:rsid w:val="004C6A55"/>
    <w:pPr>
      <w:spacing w:before="240"/>
      <w:outlineLvl w:val="9"/>
    </w:pPr>
    <w:rPr>
      <w:noProof/>
      <w:sz w:val="24"/>
    </w:rPr>
  </w:style>
  <w:style w:type="paragraph" w:customStyle="1" w:styleId="MiniTOCItem">
    <w:name w:val="MiniTOCItem"/>
    <w:basedOn w:val="ListBullet"/>
    <w:rsid w:val="004C6A55"/>
    <w:pPr>
      <w:numPr>
        <w:numId w:val="0"/>
      </w:numPr>
      <w:tabs>
        <w:tab w:val="right" w:leader="dot" w:pos="6521"/>
      </w:tabs>
      <w:spacing w:before="0" w:after="0"/>
    </w:pPr>
  </w:style>
  <w:style w:type="paragraph" w:customStyle="1" w:styleId="TOFTitle">
    <w:name w:val="TOFTitle"/>
    <w:basedOn w:val="TOCTitle"/>
    <w:rsid w:val="004C6A55"/>
  </w:style>
  <w:style w:type="paragraph" w:styleId="TableofFigures">
    <w:name w:val="table of figures"/>
    <w:basedOn w:val="Normal"/>
    <w:next w:val="Normal"/>
    <w:semiHidden/>
    <w:rsid w:val="004C6A55"/>
    <w:pPr>
      <w:tabs>
        <w:tab w:val="right" w:leader="dot" w:pos="9072"/>
      </w:tabs>
      <w:ind w:left="970" w:hanging="403"/>
    </w:pPr>
    <w:rPr>
      <w:rFonts w:ascii="Times New Roman" w:hAnsi="Times New Roman"/>
      <w:b/>
    </w:rPr>
  </w:style>
  <w:style w:type="paragraph" w:styleId="ListNumber">
    <w:name w:val="List Number"/>
    <w:basedOn w:val="List"/>
    <w:rsid w:val="004C6A55"/>
    <w:pPr>
      <w:numPr>
        <w:numId w:val="16"/>
      </w:numPr>
      <w:tabs>
        <w:tab w:val="clear" w:pos="340"/>
      </w:tabs>
    </w:pPr>
  </w:style>
  <w:style w:type="character" w:customStyle="1" w:styleId="WingdingSymbols">
    <w:name w:val="Wingding Symbols"/>
    <w:rsid w:val="004C6A55"/>
    <w:rPr>
      <w:rFonts w:ascii="Wingdings" w:hAnsi="Wingdings"/>
    </w:rPr>
  </w:style>
  <w:style w:type="paragraph" w:customStyle="1" w:styleId="TableHeading">
    <w:name w:val="Table Heading"/>
    <w:basedOn w:val="HeadingBase"/>
    <w:rsid w:val="004C6A55"/>
    <w:pPr>
      <w:keepLines/>
      <w:pBdr>
        <w:bottom w:val="single" w:sz="6" w:space="1" w:color="918585"/>
      </w:pBdr>
      <w:spacing w:before="240"/>
    </w:pPr>
  </w:style>
  <w:style w:type="character" w:customStyle="1" w:styleId="HotSpot">
    <w:name w:val="HotSpot"/>
    <w:rsid w:val="004C6A55"/>
    <w:rPr>
      <w:color w:val="0033CC"/>
      <w:u w:val="none"/>
    </w:rPr>
  </w:style>
  <w:style w:type="paragraph" w:customStyle="1" w:styleId="BodyTextRight">
    <w:name w:val="Body Text Right"/>
    <w:basedOn w:val="BodyText"/>
    <w:rsid w:val="004C6A55"/>
    <w:pPr>
      <w:spacing w:before="0" w:after="0"/>
      <w:jc w:val="right"/>
    </w:pPr>
  </w:style>
  <w:style w:type="paragraph" w:styleId="Index3">
    <w:name w:val="index 3"/>
    <w:basedOn w:val="ListNumber2"/>
    <w:next w:val="Normal"/>
    <w:semiHidden/>
    <w:rsid w:val="004C6A55"/>
    <w:pPr>
      <w:numPr>
        <w:numId w:val="0"/>
      </w:numPr>
      <w:tabs>
        <w:tab w:val="right" w:leader="dot" w:pos="4176"/>
      </w:tabs>
    </w:pPr>
  </w:style>
  <w:style w:type="paragraph" w:styleId="ListNumber2">
    <w:name w:val="List Number 2"/>
    <w:basedOn w:val="List2"/>
    <w:rsid w:val="004C6A55"/>
    <w:pPr>
      <w:numPr>
        <w:numId w:val="11"/>
      </w:numPr>
      <w:tabs>
        <w:tab w:val="clear" w:pos="1060"/>
      </w:tabs>
    </w:pPr>
  </w:style>
  <w:style w:type="paragraph" w:customStyle="1" w:styleId="MarginNote">
    <w:name w:val="Margin Note"/>
    <w:basedOn w:val="BodyText"/>
    <w:rsid w:val="004C6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A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A55"/>
    <w:rPr>
      <w:sz w:val="32"/>
    </w:rPr>
  </w:style>
  <w:style w:type="paragraph" w:customStyle="1" w:styleId="HeadingProcedure">
    <w:name w:val="Heading Procedure"/>
    <w:basedOn w:val="HeadingBase"/>
    <w:next w:val="Normal"/>
    <w:rsid w:val="004C6A55"/>
    <w:pPr>
      <w:tabs>
        <w:tab w:val="left" w:pos="0"/>
      </w:tabs>
      <w:spacing w:before="120" w:after="60"/>
    </w:pPr>
    <w:rPr>
      <w:i/>
      <w:color w:val="918585"/>
      <w:sz w:val="22"/>
    </w:rPr>
  </w:style>
  <w:style w:type="paragraph" w:customStyle="1" w:styleId="TableBodyText">
    <w:name w:val="Table Body Text"/>
    <w:basedOn w:val="BodyText"/>
    <w:rsid w:val="004C6A55"/>
    <w:pPr>
      <w:spacing w:before="60" w:after="60"/>
    </w:pPr>
  </w:style>
  <w:style w:type="paragraph" w:styleId="ListContinue">
    <w:name w:val="List Continue"/>
    <w:basedOn w:val="List"/>
    <w:rsid w:val="004C6A55"/>
    <w:pPr>
      <w:ind w:firstLine="0"/>
    </w:pPr>
  </w:style>
  <w:style w:type="paragraph" w:customStyle="1" w:styleId="ListNote">
    <w:name w:val="List Note"/>
    <w:basedOn w:val="List"/>
    <w:rsid w:val="004C6A55"/>
    <w:pPr>
      <w:pBdr>
        <w:top w:val="single" w:sz="6" w:space="2" w:color="918585"/>
        <w:bottom w:val="single" w:sz="6" w:space="2" w:color="918585"/>
      </w:pBdr>
      <w:tabs>
        <w:tab w:val="left" w:pos="1021"/>
      </w:tabs>
      <w:ind w:firstLine="0"/>
    </w:pPr>
  </w:style>
  <w:style w:type="paragraph" w:customStyle="1" w:styleId="Warning">
    <w:name w:val="Warning"/>
    <w:basedOn w:val="BodyText"/>
    <w:rsid w:val="004C6A55"/>
    <w:pPr>
      <w:shd w:val="clear" w:color="auto" w:fill="D9D9D9"/>
      <w:tabs>
        <w:tab w:val="left" w:pos="992"/>
      </w:tabs>
      <w:ind w:left="119" w:right="119"/>
    </w:pPr>
    <w:rPr>
      <w:sz w:val="20"/>
    </w:rPr>
  </w:style>
  <w:style w:type="paragraph" w:customStyle="1" w:styleId="MarginIcons">
    <w:name w:val="Margin Icons"/>
    <w:basedOn w:val="BodyText"/>
    <w:rsid w:val="004C6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A55"/>
    <w:rPr>
      <w:rFonts w:ascii="Courier New" w:hAnsi="Courier New"/>
    </w:rPr>
  </w:style>
  <w:style w:type="paragraph" w:customStyle="1" w:styleId="NoteBullet">
    <w:name w:val="Note Bullet"/>
    <w:basedOn w:val="Note"/>
    <w:rsid w:val="004C6A55"/>
    <w:pPr>
      <w:tabs>
        <w:tab w:val="clear" w:pos="680"/>
      </w:tabs>
      <w:spacing w:before="60" w:after="60"/>
    </w:pPr>
  </w:style>
  <w:style w:type="paragraph" w:customStyle="1" w:styleId="SubHeading2">
    <w:name w:val="SubHeading2"/>
    <w:basedOn w:val="HeadingBase"/>
    <w:rsid w:val="004C6A55"/>
    <w:pPr>
      <w:spacing w:before="240" w:after="60"/>
    </w:pPr>
    <w:rPr>
      <w:sz w:val="20"/>
    </w:rPr>
  </w:style>
  <w:style w:type="paragraph" w:customStyle="1" w:styleId="SubHeading1">
    <w:name w:val="SubHeading1"/>
    <w:basedOn w:val="HeadingBase"/>
    <w:rsid w:val="004C6A55"/>
    <w:pPr>
      <w:spacing w:before="240" w:after="60"/>
    </w:pPr>
    <w:rPr>
      <w:color w:val="918585"/>
      <w:sz w:val="22"/>
    </w:rPr>
  </w:style>
  <w:style w:type="paragraph" w:customStyle="1" w:styleId="SideHeading">
    <w:name w:val="Side Heading"/>
    <w:basedOn w:val="HeadingBase"/>
    <w:rsid w:val="004C6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A55"/>
    <w:pPr>
      <w:numPr>
        <w:numId w:val="12"/>
      </w:numPr>
    </w:pPr>
  </w:style>
  <w:style w:type="paragraph" w:styleId="PlainText">
    <w:name w:val="Plain Text"/>
    <w:basedOn w:val="Normal"/>
    <w:link w:val="PlainTextChar"/>
    <w:rsid w:val="004C6A55"/>
    <w:rPr>
      <w:sz w:val="20"/>
    </w:rPr>
  </w:style>
  <w:style w:type="character" w:customStyle="1" w:styleId="PlainTextChar">
    <w:name w:val="Plain Text Char"/>
    <w:basedOn w:val="DefaultParagraphFont"/>
    <w:link w:val="PlainText"/>
    <w:rsid w:val="004C6A55"/>
    <w:rPr>
      <w:rFonts w:ascii="Courier New" w:eastAsia="Times New Roman" w:hAnsi="Courier New" w:cs="Times New Roman"/>
      <w:sz w:val="20"/>
      <w:szCs w:val="20"/>
      <w:lang w:eastAsia="en-US"/>
    </w:rPr>
  </w:style>
  <w:style w:type="character" w:customStyle="1" w:styleId="MenuOption">
    <w:name w:val="Menu Option"/>
    <w:basedOn w:val="DefaultParagraphFont"/>
    <w:rsid w:val="004C6A55"/>
    <w:rPr>
      <w:b/>
      <w:smallCaps/>
    </w:rPr>
  </w:style>
  <w:style w:type="paragraph" w:customStyle="1" w:styleId="TableListNumber">
    <w:name w:val="Table List Number"/>
    <w:basedOn w:val="ListNumber"/>
    <w:rsid w:val="004C6A55"/>
    <w:pPr>
      <w:numPr>
        <w:numId w:val="0"/>
      </w:numPr>
    </w:pPr>
  </w:style>
  <w:style w:type="paragraph" w:styleId="TOC4">
    <w:name w:val="toc 4"/>
    <w:basedOn w:val="TOCBase"/>
    <w:next w:val="Normal"/>
    <w:semiHidden/>
    <w:rsid w:val="004C6A55"/>
    <w:pPr>
      <w:tabs>
        <w:tab w:val="right" w:leader="dot" w:pos="9071"/>
      </w:tabs>
      <w:ind w:left="1701"/>
    </w:pPr>
  </w:style>
  <w:style w:type="paragraph" w:customStyle="1" w:styleId="ListAlpha">
    <w:name w:val="List Alpha"/>
    <w:basedOn w:val="List"/>
    <w:rsid w:val="004C6A55"/>
    <w:pPr>
      <w:numPr>
        <w:numId w:val="10"/>
      </w:numPr>
    </w:pPr>
  </w:style>
  <w:style w:type="paragraph" w:customStyle="1" w:styleId="ListAlpha2">
    <w:name w:val="List Alpha 2"/>
    <w:basedOn w:val="List2"/>
    <w:rsid w:val="004C6A55"/>
    <w:pPr>
      <w:numPr>
        <w:numId w:val="9"/>
      </w:numPr>
    </w:pPr>
  </w:style>
  <w:style w:type="paragraph" w:styleId="List2">
    <w:name w:val="List 2"/>
    <w:basedOn w:val="BodyText"/>
    <w:rsid w:val="004C6A55"/>
    <w:pPr>
      <w:tabs>
        <w:tab w:val="left" w:pos="680"/>
      </w:tabs>
      <w:spacing w:before="60" w:after="60"/>
      <w:ind w:left="680" w:hanging="340"/>
    </w:pPr>
  </w:style>
  <w:style w:type="paragraph" w:styleId="List3">
    <w:name w:val="List 3"/>
    <w:basedOn w:val="BodyText"/>
    <w:rsid w:val="004C6A55"/>
    <w:pPr>
      <w:tabs>
        <w:tab w:val="left" w:pos="1021"/>
      </w:tabs>
      <w:spacing w:before="60" w:after="60"/>
      <w:ind w:left="1020" w:hanging="340"/>
    </w:pPr>
  </w:style>
  <w:style w:type="paragraph" w:styleId="List4">
    <w:name w:val="List 4"/>
    <w:basedOn w:val="BodyText"/>
    <w:rsid w:val="004C6A55"/>
    <w:pPr>
      <w:tabs>
        <w:tab w:val="left" w:pos="1361"/>
      </w:tabs>
      <w:spacing w:before="60" w:after="60"/>
      <w:ind w:left="1361" w:hanging="340"/>
    </w:pPr>
  </w:style>
  <w:style w:type="paragraph" w:styleId="List5">
    <w:name w:val="List 5"/>
    <w:basedOn w:val="BodyText"/>
    <w:rsid w:val="004C6A55"/>
    <w:pPr>
      <w:tabs>
        <w:tab w:val="left" w:pos="1701"/>
      </w:tabs>
      <w:spacing w:before="60" w:after="60"/>
      <w:ind w:left="1701" w:hanging="340"/>
    </w:pPr>
  </w:style>
  <w:style w:type="paragraph" w:styleId="ListBullet4">
    <w:name w:val="List Bullet 4"/>
    <w:basedOn w:val="List4"/>
    <w:rsid w:val="004C6A55"/>
    <w:pPr>
      <w:numPr>
        <w:numId w:val="4"/>
      </w:numPr>
      <w:tabs>
        <w:tab w:val="clear" w:pos="1361"/>
      </w:tabs>
    </w:pPr>
  </w:style>
  <w:style w:type="paragraph" w:styleId="ListBullet5">
    <w:name w:val="List Bullet 5"/>
    <w:basedOn w:val="List5"/>
    <w:rsid w:val="004C6A55"/>
    <w:pPr>
      <w:numPr>
        <w:numId w:val="5"/>
      </w:numPr>
    </w:pPr>
  </w:style>
  <w:style w:type="paragraph" w:styleId="ListContinue2">
    <w:name w:val="List Continue 2"/>
    <w:basedOn w:val="List2"/>
    <w:rsid w:val="004C6A55"/>
    <w:pPr>
      <w:ind w:firstLine="0"/>
    </w:pPr>
  </w:style>
  <w:style w:type="paragraph" w:styleId="ListContinue3">
    <w:name w:val="List Continue 3"/>
    <w:basedOn w:val="List3"/>
    <w:rsid w:val="004C6A55"/>
    <w:pPr>
      <w:ind w:left="1021" w:firstLine="0"/>
    </w:pPr>
  </w:style>
  <w:style w:type="paragraph" w:styleId="ListContinue4">
    <w:name w:val="List Continue 4"/>
    <w:basedOn w:val="List4"/>
    <w:rsid w:val="004C6A55"/>
    <w:pPr>
      <w:ind w:firstLine="0"/>
    </w:pPr>
  </w:style>
  <w:style w:type="paragraph" w:styleId="ListContinue5">
    <w:name w:val="List Continue 5"/>
    <w:basedOn w:val="List5"/>
    <w:rsid w:val="004C6A55"/>
    <w:pPr>
      <w:ind w:firstLine="0"/>
    </w:pPr>
  </w:style>
  <w:style w:type="paragraph" w:styleId="ListNumber3">
    <w:name w:val="List Number 3"/>
    <w:basedOn w:val="List3"/>
    <w:rsid w:val="004C6A55"/>
    <w:pPr>
      <w:numPr>
        <w:numId w:val="6"/>
      </w:numPr>
    </w:pPr>
  </w:style>
  <w:style w:type="paragraph" w:styleId="ListNumber4">
    <w:name w:val="List Number 4"/>
    <w:basedOn w:val="List4"/>
    <w:rsid w:val="004C6A55"/>
    <w:pPr>
      <w:numPr>
        <w:numId w:val="7"/>
      </w:numPr>
    </w:pPr>
  </w:style>
  <w:style w:type="paragraph" w:styleId="ListNumber5">
    <w:name w:val="List Number 5"/>
    <w:basedOn w:val="List5"/>
    <w:rsid w:val="004C6A55"/>
    <w:pPr>
      <w:numPr>
        <w:numId w:val="8"/>
      </w:numPr>
    </w:pPr>
  </w:style>
  <w:style w:type="paragraph" w:styleId="BlockText">
    <w:name w:val="Block Text"/>
    <w:basedOn w:val="Normal"/>
    <w:rsid w:val="004C6A55"/>
    <w:pPr>
      <w:spacing w:after="120"/>
      <w:ind w:left="1440" w:right="1440"/>
    </w:pPr>
  </w:style>
  <w:style w:type="character" w:customStyle="1" w:styleId="Subscript">
    <w:name w:val="Subscript"/>
    <w:basedOn w:val="DefaultParagraphFont"/>
    <w:rsid w:val="004C6A55"/>
    <w:rPr>
      <w:sz w:val="16"/>
      <w:vertAlign w:val="subscript"/>
    </w:rPr>
  </w:style>
  <w:style w:type="character" w:customStyle="1" w:styleId="Superscript">
    <w:name w:val="Superscript"/>
    <w:basedOn w:val="DefaultParagraphFont"/>
    <w:rsid w:val="004C6A55"/>
    <w:rPr>
      <w:sz w:val="16"/>
      <w:vertAlign w:val="superscript"/>
    </w:rPr>
  </w:style>
  <w:style w:type="character" w:customStyle="1" w:styleId="Symbols">
    <w:name w:val="Symbols"/>
    <w:basedOn w:val="DefaultParagraphFont"/>
    <w:rsid w:val="004C6A55"/>
    <w:rPr>
      <w:rFonts w:ascii="Symbol" w:hAnsi="Symbol"/>
    </w:rPr>
  </w:style>
  <w:style w:type="character" w:customStyle="1" w:styleId="MenuOptions">
    <w:name w:val="Menu Options"/>
    <w:basedOn w:val="DefaultParagraphFont"/>
    <w:rsid w:val="004C6A55"/>
    <w:rPr>
      <w:rFonts w:ascii="Arial Narrow" w:hAnsi="Arial Narrow"/>
      <w:smallCaps/>
    </w:rPr>
  </w:style>
  <w:style w:type="character" w:customStyle="1" w:styleId="Buttons">
    <w:name w:val="Buttons"/>
    <w:basedOn w:val="DefaultParagraphFont"/>
    <w:rsid w:val="004C6A55"/>
    <w:rPr>
      <w:b/>
    </w:rPr>
  </w:style>
  <w:style w:type="character" w:customStyle="1" w:styleId="Underlined">
    <w:name w:val="Underlined"/>
    <w:basedOn w:val="DefaultParagraphFont"/>
    <w:rsid w:val="004C6A55"/>
    <w:rPr>
      <w:u w:val="single"/>
    </w:rPr>
  </w:style>
  <w:style w:type="paragraph" w:customStyle="1" w:styleId="TableBodyTextRight">
    <w:name w:val="Table Body Text Right"/>
    <w:basedOn w:val="TableBodyText"/>
    <w:rsid w:val="004C6A55"/>
    <w:pPr>
      <w:widowControl w:val="0"/>
      <w:autoSpaceDE w:val="0"/>
      <w:autoSpaceDN w:val="0"/>
      <w:adjustRightInd w:val="0"/>
      <w:jc w:val="right"/>
    </w:pPr>
    <w:rPr>
      <w:rFonts w:cs="Arial"/>
      <w:szCs w:val="18"/>
    </w:rPr>
  </w:style>
  <w:style w:type="paragraph" w:customStyle="1" w:styleId="CopyrightText">
    <w:name w:val="Copyright Text"/>
    <w:basedOn w:val="BodyText"/>
    <w:rsid w:val="004C6A55"/>
    <w:rPr>
      <w:sz w:val="18"/>
    </w:rPr>
  </w:style>
  <w:style w:type="paragraph" w:customStyle="1" w:styleId="BodySmallRight">
    <w:name w:val="Body Small Right"/>
    <w:basedOn w:val="BodyTextRight"/>
    <w:rsid w:val="004C6A55"/>
    <w:rPr>
      <w:sz w:val="18"/>
      <w:szCs w:val="18"/>
    </w:rPr>
  </w:style>
  <w:style w:type="paragraph" w:customStyle="1" w:styleId="MarginEdition">
    <w:name w:val="Margin Edition"/>
    <w:basedOn w:val="MarginNote"/>
    <w:rsid w:val="004C6A55"/>
    <w:pPr>
      <w:spacing w:before="0" w:after="0"/>
    </w:pPr>
    <w:rPr>
      <w:rFonts w:ascii="Times New Roman" w:hAnsi="Times New Roman"/>
      <w:color w:val="999999"/>
    </w:rPr>
  </w:style>
  <w:style w:type="paragraph" w:customStyle="1" w:styleId="Spacer">
    <w:name w:val="Spacer"/>
    <w:basedOn w:val="Normal"/>
    <w:rsid w:val="004C6A55"/>
    <w:rPr>
      <w:sz w:val="2"/>
      <w:szCs w:val="2"/>
    </w:rPr>
  </w:style>
  <w:style w:type="character" w:customStyle="1" w:styleId="Small">
    <w:name w:val="Small"/>
    <w:basedOn w:val="DefaultParagraphFont"/>
    <w:rsid w:val="004C6A55"/>
    <w:rPr>
      <w:sz w:val="16"/>
    </w:rPr>
  </w:style>
  <w:style w:type="paragraph" w:customStyle="1" w:styleId="WideTable">
    <w:name w:val="Wide Table"/>
    <w:basedOn w:val="Normal"/>
    <w:rsid w:val="004C6A55"/>
    <w:pPr>
      <w:ind w:left="-1418"/>
    </w:pPr>
    <w:rPr>
      <w:sz w:val="2"/>
      <w:szCs w:val="2"/>
    </w:rPr>
  </w:style>
  <w:style w:type="character" w:styleId="PageNumber">
    <w:name w:val="page number"/>
    <w:basedOn w:val="DefaultParagraphFont"/>
    <w:rsid w:val="004C6A55"/>
  </w:style>
  <w:style w:type="paragraph" w:styleId="Quote">
    <w:name w:val="Quote"/>
    <w:basedOn w:val="Heading1"/>
    <w:link w:val="QuoteChar"/>
    <w:qFormat/>
    <w:rsid w:val="004C6A55"/>
    <w:rPr>
      <w:b w:val="0"/>
      <w:sz w:val="72"/>
      <w:szCs w:val="72"/>
      <w:lang w:val="en-NZ"/>
    </w:rPr>
  </w:style>
  <w:style w:type="character" w:customStyle="1" w:styleId="QuoteChar">
    <w:name w:val="Quote Char"/>
    <w:basedOn w:val="DefaultParagraphFont"/>
    <w:link w:val="Quote"/>
    <w:rsid w:val="004C6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A55"/>
    <w:pPr>
      <w:pageBreakBefore/>
    </w:pPr>
  </w:style>
  <w:style w:type="paragraph" w:customStyle="1" w:styleId="Border">
    <w:name w:val="Border"/>
    <w:basedOn w:val="Normal"/>
    <w:qFormat/>
    <w:rsid w:val="004C6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A55"/>
    <w:rPr>
      <w:b/>
      <w:bCs/>
      <w:i/>
      <w:iCs/>
      <w:color w:val="auto"/>
    </w:rPr>
  </w:style>
  <w:style w:type="paragraph" w:styleId="IntenseQuote">
    <w:name w:val="Intense Quote"/>
    <w:basedOn w:val="Normal"/>
    <w:next w:val="Normal"/>
    <w:link w:val="IntenseQuoteChar"/>
    <w:uiPriority w:val="30"/>
    <w:qFormat/>
    <w:rsid w:val="004C6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A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A55"/>
    <w:rPr>
      <w:smallCaps/>
      <w:color w:val="auto"/>
      <w:u w:val="single"/>
    </w:rPr>
  </w:style>
  <w:style w:type="character" w:styleId="IntenseReference">
    <w:name w:val="Intense Reference"/>
    <w:basedOn w:val="DefaultParagraphFont"/>
    <w:uiPriority w:val="32"/>
    <w:qFormat/>
    <w:rsid w:val="004C6A55"/>
    <w:rPr>
      <w:b/>
      <w:bCs/>
      <w:smallCaps/>
      <w:color w:val="auto"/>
      <w:spacing w:val="5"/>
      <w:u w:val="single"/>
    </w:rPr>
  </w:style>
  <w:style w:type="paragraph" w:customStyle="1" w:styleId="2ColumnHeading">
    <w:name w:val="2Column Heading"/>
    <w:basedOn w:val="BodyText"/>
    <w:qFormat/>
    <w:rsid w:val="004C6A55"/>
    <w:pPr>
      <w:spacing w:after="60"/>
      <w:ind w:left="-2268"/>
    </w:pPr>
    <w:rPr>
      <w:b/>
    </w:rPr>
  </w:style>
  <w:style w:type="paragraph" w:customStyle="1" w:styleId="Heading1TOC">
    <w:name w:val="Heading1 TOC"/>
    <w:basedOn w:val="Normal"/>
    <w:qFormat/>
    <w:rsid w:val="004C6A55"/>
    <w:pPr>
      <w:spacing w:before="240" w:after="120"/>
    </w:pPr>
    <w:rPr>
      <w:rFonts w:ascii="Times New Roman" w:hAnsi="Times New Roman"/>
      <w:b/>
      <w:sz w:val="32"/>
    </w:rPr>
  </w:style>
  <w:style w:type="paragraph" w:customStyle="1" w:styleId="Heading2TOC">
    <w:name w:val="Heading2 TOC"/>
    <w:basedOn w:val="Normal"/>
    <w:qFormat/>
    <w:rsid w:val="004C6A55"/>
    <w:pPr>
      <w:spacing w:before="240" w:after="60"/>
    </w:pPr>
    <w:rPr>
      <w:rFonts w:ascii="Times New Roman" w:hAnsi="Times New Roman"/>
      <w:b/>
      <w:sz w:val="28"/>
    </w:rPr>
  </w:style>
  <w:style w:type="character" w:customStyle="1" w:styleId="Underline">
    <w:name w:val="Underline"/>
    <w:basedOn w:val="DefaultParagraphFont"/>
    <w:qFormat/>
    <w:rsid w:val="004C6A55"/>
    <w:rPr>
      <w:u w:val="single"/>
    </w:rPr>
  </w:style>
  <w:style w:type="paragraph" w:styleId="BalloonText">
    <w:name w:val="Balloon Text"/>
    <w:basedOn w:val="Normal"/>
    <w:link w:val="BalloonTextChar"/>
    <w:rsid w:val="004C6A55"/>
    <w:rPr>
      <w:rFonts w:ascii="Tahoma" w:hAnsi="Tahoma" w:cs="Tahoma"/>
      <w:sz w:val="16"/>
      <w:szCs w:val="16"/>
    </w:rPr>
  </w:style>
  <w:style w:type="character" w:customStyle="1" w:styleId="BalloonTextChar">
    <w:name w:val="Balloon Text Char"/>
    <w:basedOn w:val="DefaultParagraphFont"/>
    <w:link w:val="BalloonText"/>
    <w:rsid w:val="004C6A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A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A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A55"/>
    <w:rPr>
      <w:b/>
      <w:color w:val="660033"/>
      <w:spacing w:val="0"/>
    </w:rPr>
  </w:style>
  <w:style w:type="paragraph" w:customStyle="1" w:styleId="Nameditemlist">
    <w:name w:val="Named item list"/>
    <w:basedOn w:val="BodyText"/>
    <w:qFormat/>
    <w:rsid w:val="004C6A55"/>
    <w:pPr>
      <w:tabs>
        <w:tab w:val="left" w:pos="2835"/>
      </w:tabs>
      <w:ind w:left="2835" w:hanging="2835"/>
    </w:pPr>
  </w:style>
  <w:style w:type="paragraph" w:customStyle="1" w:styleId="BodyTextnopadding">
    <w:name w:val="Body Text no padding"/>
    <w:basedOn w:val="BodyText"/>
    <w:qFormat/>
    <w:rsid w:val="004C6A55"/>
    <w:pPr>
      <w:spacing w:before="0" w:after="0"/>
    </w:pPr>
  </w:style>
  <w:style w:type="paragraph" w:customStyle="1" w:styleId="BodyTextBold">
    <w:name w:val="Body Text Bold"/>
    <w:basedOn w:val="BodyText"/>
    <w:qFormat/>
    <w:rsid w:val="004C6A55"/>
    <w:rPr>
      <w:b/>
    </w:rPr>
  </w:style>
  <w:style w:type="character" w:styleId="Hyperlink">
    <w:name w:val="Hyperlink"/>
    <w:basedOn w:val="DefaultParagraphFont"/>
    <w:uiPriority w:val="99"/>
    <w:unhideWhenUsed/>
    <w:rsid w:val="00385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7842</Characters>
  <Application>Microsoft Office Word</Application>
  <DocSecurity>0</DocSecurity>
  <Lines>252</Lines>
  <Paragraphs>184</Paragraphs>
  <ScaleCrop>false</ScaleCrop>
  <Company>Author-it Software Corporation Ltd.</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AURVTW004 Carry out tungsten inert gas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