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DEC" w:rsidP="00FD4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AURVTP115 Match direct gloss solid paint colour on vehicles or components</w:t>
      </w:r>
      <w:r>
        <w:fldChar w:fldCharType="end"/>
      </w:r>
    </w:p>
    <w:p w:rsidR="00FD4DEC" w:rsidP="00FD4DEC">
      <w:pPr>
        <w:pStyle w:val="Version"/>
        <w:sectPr w:rsidSect="004E7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197" w:rsidP="004E7197">
      <w:pPr>
        <w:pStyle w:val="SuperHeading"/>
      </w:pPr>
      <w:r w:rsidRPr="004E7197">
        <w:t>Assessment Requirements for AURVTP115 Match direct gloss solid paint colour on vehicles or components</w:t>
      </w:r>
    </w:p>
    <w:p w:rsidR="00000000" w:rsidRPr="004E7197" w:rsidP="004E7197">
      <w:pPr>
        <w:pStyle w:val="Heading1"/>
      </w:pPr>
      <w:bookmarkStart w:id="1" w:name="O_1130747"/>
      <w:bookmarkEnd w:id="1"/>
      <w:r w:rsidRPr="004E71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E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197" w:rsidP="004E7197">
            <w:pPr>
              <w:pStyle w:val="BodyText"/>
            </w:pPr>
            <w:r w:rsidRPr="004E719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197">
            <w:pPr>
              <w:pStyle w:val="BodyText"/>
              <w:rPr>
                <w:lang w:val="en-NZ"/>
              </w:rPr>
            </w:pPr>
            <w:r w:rsidRPr="004E7197">
              <w:rPr>
                <w:rStyle w:val="SpecialBold"/>
              </w:rPr>
              <w:t>Comments</w:t>
            </w:r>
          </w:p>
        </w:tc>
      </w:tr>
      <w:tr w:rsidTr="004E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197">
            <w:pPr>
              <w:pStyle w:val="BodyText"/>
              <w:rPr>
                <w:lang w:val="en-NZ"/>
              </w:rPr>
            </w:pPr>
            <w:r w:rsidRPr="004E719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197" w:rsidP="004E7197">
            <w:pPr>
              <w:pStyle w:val="BodyText"/>
            </w:pPr>
            <w:r w:rsidRPr="004E7197">
              <w:t>This version first released with AUR Automotive</w:t>
            </w:r>
            <w:r w:rsidRPr="004E7197">
              <w:t xml:space="preserve"> Retail, Service and Repair Training Package Version 6.0</w:t>
            </w:r>
          </w:p>
        </w:tc>
      </w:tr>
    </w:tbl>
    <w:p w:rsidR="00000000" w:rsidRPr="004E7197" w:rsidP="004E7197">
      <w:pPr>
        <w:pStyle w:val="BodyText"/>
      </w:pPr>
    </w:p>
    <w:p w:rsidR="00000000" w:rsidRPr="004E7197" w:rsidP="004E7197">
      <w:pPr>
        <w:pStyle w:val="AllowPageBreak"/>
      </w:pPr>
    </w:p>
    <w:p w:rsidR="00000000" w:rsidRPr="004E7197" w:rsidP="004E7197">
      <w:pPr>
        <w:pStyle w:val="Heading1"/>
      </w:pPr>
      <w:bookmarkStart w:id="2" w:name="O_1130750"/>
      <w:bookmarkEnd w:id="2"/>
      <w:r w:rsidRPr="004E7197">
        <w:t>Performance Evidence</w:t>
      </w:r>
    </w:p>
    <w:p w:rsidR="00000000" w:rsidRPr="004E7197" w:rsidP="00FD4DEC">
      <w:pPr>
        <w:pStyle w:val="BodyText"/>
      </w:pPr>
      <w:r w:rsidRPr="004E7197">
        <w:t>The candidate must demonstrate the ability to complete the tasks outlined in the elements, performance criteria and foundation skills of this unit, including</w:t>
      </w:r>
      <w:r w:rsidRPr="004E7197">
        <w:t xml:space="preserve"> evidence of the ability to:</w:t>
      </w:r>
    </w:p>
    <w:p w:rsidR="00000000" w:rsidRPr="004E7197" w:rsidP="004E7197">
      <w:pPr>
        <w:pStyle w:val="ListBullet"/>
      </w:pPr>
      <w:r w:rsidRPr="004E7197">
        <w:t>perform visual paint colour matching on at least three different vehicle panels.</w:t>
      </w:r>
    </w:p>
    <w:p w:rsidR="00000000" w:rsidRPr="004E7197" w:rsidP="004E7197">
      <w:pPr>
        <w:pStyle w:val="AllowPageBreak"/>
      </w:pPr>
    </w:p>
    <w:p w:rsidR="00000000" w:rsidRPr="004E7197" w:rsidP="004E7197">
      <w:pPr>
        <w:pStyle w:val="Heading1"/>
      </w:pPr>
      <w:bookmarkStart w:id="3" w:name="O_1130749"/>
      <w:bookmarkEnd w:id="3"/>
      <w:r w:rsidRPr="004E7197">
        <w:t>Knowledge Evidence</w:t>
      </w:r>
    </w:p>
    <w:p w:rsidR="00000000" w:rsidRPr="004E7197" w:rsidP="00FD4DEC">
      <w:pPr>
        <w:pStyle w:val="BodyText"/>
      </w:pPr>
      <w:r w:rsidRPr="004E7197">
        <w:t>The candidate must be able to demonstrate knowledge to complete the tasks outlined in the elements, perform</w:t>
      </w:r>
      <w:r w:rsidRPr="004E7197">
        <w:t>ance criteria and foundation skills of this unit, including knowledge of:</w:t>
      </w:r>
    </w:p>
    <w:p w:rsidR="00000000" w:rsidRPr="004E7197" w:rsidP="004E7197">
      <w:pPr>
        <w:pStyle w:val="ListBullet"/>
      </w:pPr>
      <w:r w:rsidRPr="004E7197">
        <w:t>methods to locate and interpret information required to match direct gloss solid paint colour on vehicles or components, including:</w:t>
      </w:r>
    </w:p>
    <w:p w:rsidR="00000000" w:rsidRPr="004E7197" w:rsidP="004E7197">
      <w:pPr>
        <w:pStyle w:val="ListBullet2"/>
      </w:pPr>
      <w:r w:rsidRPr="004E7197">
        <w:t>original equipment manufacturer (OEM) paint colour codes and formulas</w:t>
      </w:r>
    </w:p>
    <w:p w:rsidR="00000000" w:rsidRPr="004E7197" w:rsidP="004E7197">
      <w:pPr>
        <w:pStyle w:val="ListBullet"/>
      </w:pPr>
      <w:r w:rsidRPr="004E7197">
        <w:t>workplace procedures required to match direct gloss solid paint colour on vehicles or components including:</w:t>
      </w:r>
    </w:p>
    <w:p w:rsidR="00000000" w:rsidRPr="004E7197" w:rsidP="004E7197">
      <w:pPr>
        <w:pStyle w:val="ListBullet2"/>
      </w:pPr>
      <w:r w:rsidRPr="004E7197">
        <w:t xml:space="preserve">establishing the serviceability of tools and equipment </w:t>
      </w:r>
    </w:p>
    <w:p w:rsidR="00000000" w:rsidRPr="004E7197" w:rsidP="004E7197">
      <w:pPr>
        <w:pStyle w:val="ListBullet2"/>
      </w:pPr>
      <w:r w:rsidRPr="004E7197">
        <w:t>documentation proced</w:t>
      </w:r>
      <w:r w:rsidRPr="004E7197">
        <w:t>ures</w:t>
      </w:r>
    </w:p>
    <w:p w:rsidR="00000000" w:rsidRPr="004E7197" w:rsidP="004E7197">
      <w:pPr>
        <w:pStyle w:val="ListBullet2"/>
      </w:pPr>
      <w:r w:rsidRPr="004E7197">
        <w:t>housekeeping procedures including:</w:t>
      </w:r>
    </w:p>
    <w:p w:rsidR="00000000" w:rsidRPr="004E7197" w:rsidP="004E7197">
      <w:pPr>
        <w:pStyle w:val="ListBullet3"/>
      </w:pPr>
      <w:r w:rsidRPr="004E7197">
        <w:t>examination of tools and equipment</w:t>
      </w:r>
    </w:p>
    <w:p w:rsidR="00000000" w:rsidRPr="004E7197" w:rsidP="004E7197">
      <w:pPr>
        <w:pStyle w:val="ListBullet3"/>
      </w:pPr>
      <w:r w:rsidRPr="004E7197">
        <w:t>storage of equipment</w:t>
      </w:r>
    </w:p>
    <w:p w:rsidR="00000000" w:rsidRPr="004E7197" w:rsidP="004E7197">
      <w:pPr>
        <w:pStyle w:val="ListBullet3"/>
      </w:pPr>
      <w:r w:rsidRPr="004E7197">
        <w:t>identification, tagging and isolation of faulty equipment</w:t>
      </w:r>
    </w:p>
    <w:p w:rsidR="00000000" w:rsidRPr="004E7197" w:rsidP="004E7197">
      <w:pPr>
        <w:pStyle w:val="ListBullet3"/>
      </w:pPr>
      <w:r w:rsidRPr="004E7197">
        <w:t xml:space="preserve">disposal of excess materials </w:t>
      </w:r>
    </w:p>
    <w:p w:rsidR="00000000" w:rsidRPr="004E7197" w:rsidP="004E7197">
      <w:pPr>
        <w:pStyle w:val="ListBullet3"/>
      </w:pPr>
      <w:r w:rsidRPr="004E7197">
        <w:t>recycling procedures</w:t>
      </w:r>
    </w:p>
    <w:p w:rsidR="00000000" w:rsidRPr="004E7197" w:rsidP="004E7197">
      <w:pPr>
        <w:pStyle w:val="ListBullet"/>
      </w:pPr>
      <w:r w:rsidRPr="004E7197">
        <w:t>workplace health and safety (WHS) requirements relating to matching direct gloss solid paint colour on vehicles or components, including procedures for:</w:t>
      </w:r>
    </w:p>
    <w:p w:rsidR="00000000" w:rsidRPr="004E7197" w:rsidP="004E7197">
      <w:pPr>
        <w:pStyle w:val="ListBullet2"/>
      </w:pPr>
      <w:r w:rsidRPr="004E7197">
        <w:t>selecting and using personal protective equipment (PPE)</w:t>
      </w:r>
    </w:p>
    <w:p w:rsidR="00000000" w:rsidRPr="004E7197" w:rsidP="004E7197">
      <w:pPr>
        <w:pStyle w:val="ListBullet2"/>
      </w:pPr>
      <w:r w:rsidRPr="004E7197">
        <w:t>using technical data sheets (TDS) and safety d</w:t>
      </w:r>
      <w:r w:rsidRPr="004E7197">
        <w:t>ata sheets (SDS) for paint materials</w:t>
      </w:r>
    </w:p>
    <w:p w:rsidR="00000000" w:rsidRPr="004E7197" w:rsidP="004E7197">
      <w:pPr>
        <w:pStyle w:val="ListBullet2"/>
      </w:pPr>
      <w:r w:rsidRPr="004E7197">
        <w:t>handling and storing paint materials</w:t>
      </w:r>
    </w:p>
    <w:p w:rsidR="00000000" w:rsidRPr="004E7197" w:rsidP="004E7197">
      <w:pPr>
        <w:pStyle w:val="ListBullet2"/>
      </w:pPr>
      <w:r w:rsidRPr="004E7197">
        <w:t>using tools and equipment</w:t>
      </w:r>
    </w:p>
    <w:p w:rsidR="00000000" w:rsidRPr="004E7197" w:rsidP="004E7197">
      <w:pPr>
        <w:pStyle w:val="ListBullet2"/>
      </w:pPr>
      <w:r w:rsidRPr="004E7197">
        <w:t>using approved drying area</w:t>
      </w:r>
    </w:p>
    <w:p w:rsidR="00000000" w:rsidRPr="004E7197" w:rsidP="004E7197">
      <w:pPr>
        <w:pStyle w:val="ListBullet"/>
      </w:pPr>
      <w:r w:rsidRPr="004E7197">
        <w:t xml:space="preserve">environmental requirements relating to matching direct gloss solid paint colour on vehicles </w:t>
      </w:r>
      <w:r w:rsidRPr="004E7197">
        <w:t>or components, including procedures for trapping, storing and disposing of waste materials</w:t>
      </w:r>
    </w:p>
    <w:p w:rsidR="00000000" w:rsidRPr="004E7197" w:rsidP="004E7197">
      <w:pPr>
        <w:pStyle w:val="ListBullet"/>
      </w:pPr>
      <w:r w:rsidRPr="004E7197">
        <w:t>types and application methods for automotive paint</w:t>
      </w:r>
    </w:p>
    <w:p w:rsidR="00000000" w:rsidRPr="004E7197" w:rsidP="004E7197">
      <w:pPr>
        <w:pStyle w:val="ListBullet"/>
      </w:pPr>
      <w:r w:rsidRPr="004E7197">
        <w:t>types and use of painting tools and equipment, including:</w:t>
      </w:r>
    </w:p>
    <w:p w:rsidR="00000000" w:rsidRPr="004E7197" w:rsidP="004E7197">
      <w:pPr>
        <w:pStyle w:val="ListBullet2"/>
      </w:pPr>
      <w:r w:rsidRPr="004E7197">
        <w:t>tinting system</w:t>
      </w:r>
    </w:p>
    <w:p w:rsidR="00000000" w:rsidRPr="004E7197" w:rsidP="004E7197">
      <w:pPr>
        <w:pStyle w:val="ListBullet2"/>
      </w:pPr>
      <w:r w:rsidRPr="004E7197">
        <w:t>paint measuring scales</w:t>
      </w:r>
    </w:p>
    <w:p w:rsidR="00000000" w:rsidRPr="004E7197" w:rsidP="004E7197">
      <w:pPr>
        <w:pStyle w:val="ListBullet2"/>
      </w:pPr>
      <w:r w:rsidRPr="004E7197">
        <w:t>paint strainers</w:t>
      </w:r>
    </w:p>
    <w:p w:rsidR="00000000" w:rsidRPr="004E7197" w:rsidP="004E7197">
      <w:pPr>
        <w:pStyle w:val="ListBullet2"/>
      </w:pPr>
      <w:r w:rsidRPr="004E7197">
        <w:t>s</w:t>
      </w:r>
      <w:r w:rsidRPr="004E7197">
        <w:t>pray guns</w:t>
      </w:r>
    </w:p>
    <w:p w:rsidR="00000000" w:rsidRPr="004E7197" w:rsidP="004E7197">
      <w:pPr>
        <w:pStyle w:val="ListBullet2"/>
      </w:pPr>
      <w:r w:rsidRPr="004E7197">
        <w:t>approved spray area</w:t>
      </w:r>
    </w:p>
    <w:p w:rsidR="00000000" w:rsidRPr="004E7197" w:rsidP="004E7197">
      <w:pPr>
        <w:pStyle w:val="ListBullet2"/>
      </w:pPr>
      <w:r w:rsidRPr="004E7197">
        <w:t>polishing and cleaning equipment</w:t>
      </w:r>
    </w:p>
    <w:p w:rsidR="00000000" w:rsidRPr="004E7197" w:rsidP="004E7197">
      <w:pPr>
        <w:pStyle w:val="ListBullet2"/>
      </w:pPr>
      <w:r w:rsidRPr="004E7197">
        <w:t>metal or cardboard colour matching test cards</w:t>
      </w:r>
    </w:p>
    <w:p w:rsidR="00000000" w:rsidRPr="004E7197" w:rsidP="004E7197">
      <w:pPr>
        <w:pStyle w:val="ListBullet"/>
      </w:pPr>
      <w:r w:rsidRPr="004E7197">
        <w:t>types and use of paint materials, including:</w:t>
      </w:r>
    </w:p>
    <w:p w:rsidR="00000000" w:rsidRPr="004E7197" w:rsidP="004E7197">
      <w:pPr>
        <w:pStyle w:val="ListBullet2"/>
      </w:pPr>
      <w:r w:rsidRPr="004E7197">
        <w:t>direct gloss two-pack enamels</w:t>
      </w:r>
    </w:p>
    <w:p w:rsidR="00000000" w:rsidRPr="004E7197" w:rsidP="004E7197">
      <w:pPr>
        <w:pStyle w:val="ListBullet2"/>
      </w:pPr>
      <w:r w:rsidRPr="004E7197">
        <w:t>paint hardeners</w:t>
      </w:r>
    </w:p>
    <w:p w:rsidR="00000000" w:rsidRPr="004E7197" w:rsidP="004E7197">
      <w:pPr>
        <w:pStyle w:val="ListBullet2"/>
      </w:pPr>
      <w:r w:rsidRPr="004E7197">
        <w:t>paint reducers</w:t>
      </w:r>
    </w:p>
    <w:p w:rsidR="00000000" w:rsidRPr="004E7197" w:rsidP="004E7197">
      <w:pPr>
        <w:pStyle w:val="ListBullet2"/>
      </w:pPr>
      <w:r w:rsidRPr="004E7197">
        <w:t>cleaning materials</w:t>
      </w:r>
    </w:p>
    <w:p w:rsidR="00000000" w:rsidRPr="004E7197" w:rsidP="004E7197">
      <w:pPr>
        <w:pStyle w:val="ListBullet"/>
      </w:pPr>
      <w:r w:rsidRPr="004E7197">
        <w:t>types and use of paint colour matching equipment, including:</w:t>
      </w:r>
    </w:p>
    <w:p w:rsidR="00000000" w:rsidRPr="004E7197" w:rsidP="004E7197">
      <w:pPr>
        <w:pStyle w:val="ListBullet2"/>
      </w:pPr>
      <w:r w:rsidRPr="004E7197">
        <w:t>paint mixing systems</w:t>
      </w:r>
    </w:p>
    <w:p w:rsidR="00000000" w:rsidRPr="004E7197" w:rsidP="004E7197">
      <w:pPr>
        <w:pStyle w:val="ListBullet2"/>
      </w:pPr>
      <w:r w:rsidRPr="004E7197">
        <w:t>spray gun set-up, use and maintenance</w:t>
      </w:r>
    </w:p>
    <w:p w:rsidR="00000000" w:rsidRPr="004E7197" w:rsidP="004E7197">
      <w:pPr>
        <w:pStyle w:val="ListBullet2"/>
      </w:pPr>
      <w:r w:rsidRPr="004E7197">
        <w:t>paint drying equipment and methods</w:t>
      </w:r>
    </w:p>
    <w:p w:rsidR="00000000" w:rsidRPr="004E7197" w:rsidP="004E7197">
      <w:pPr>
        <w:pStyle w:val="ListBullet2"/>
      </w:pPr>
      <w:r w:rsidRPr="004E7197">
        <w:t>correct use of positive air feed masks</w:t>
      </w:r>
    </w:p>
    <w:p w:rsidR="00000000" w:rsidRPr="004E7197" w:rsidP="004E7197">
      <w:pPr>
        <w:pStyle w:val="ListBullet"/>
      </w:pPr>
      <w:r w:rsidRPr="004E7197">
        <w:t>colour matching methods and techniques for solid colour pain</w:t>
      </w:r>
      <w:r w:rsidRPr="004E7197">
        <w:t>ts, including:</w:t>
      </w:r>
    </w:p>
    <w:p w:rsidR="00000000" w:rsidRPr="004E7197" w:rsidP="004E7197">
      <w:pPr>
        <w:pStyle w:val="ListBullet2"/>
      </w:pPr>
      <w:r w:rsidRPr="004E7197">
        <w:t>mixing system set-up and operation</w:t>
      </w:r>
    </w:p>
    <w:p w:rsidR="00000000" w:rsidRPr="004E7197" w:rsidP="004E7197">
      <w:pPr>
        <w:pStyle w:val="ListBullet2"/>
      </w:pPr>
      <w:r w:rsidRPr="004E7197">
        <w:t>colour test cards</w:t>
      </w:r>
    </w:p>
    <w:p w:rsidR="00000000" w:rsidRPr="004E7197" w:rsidP="004E7197">
      <w:pPr>
        <w:pStyle w:val="ListBullet2"/>
      </w:pPr>
      <w:r w:rsidRPr="004E7197">
        <w:t>visual colour matching tests, including opacity and film build, texture and peel</w:t>
      </w:r>
    </w:p>
    <w:p w:rsidR="00000000" w:rsidRPr="004E7197" w:rsidP="004E7197">
      <w:pPr>
        <w:pStyle w:val="ListBullet2"/>
      </w:pPr>
      <w:r w:rsidRPr="004E7197">
        <w:t>wet to wet matching</w:t>
      </w:r>
    </w:p>
    <w:p w:rsidR="00000000" w:rsidRPr="004E7197" w:rsidP="004E7197">
      <w:pPr>
        <w:pStyle w:val="ListBullet2"/>
      </w:pPr>
      <w:r w:rsidRPr="004E7197">
        <w:t>edge to edge matching</w:t>
      </w:r>
    </w:p>
    <w:p w:rsidR="00000000" w:rsidRPr="004E7197" w:rsidP="004E7197">
      <w:pPr>
        <w:pStyle w:val="ListBullet2"/>
      </w:pPr>
      <w:r w:rsidRPr="004E7197">
        <w:t>hard line matching</w:t>
      </w:r>
    </w:p>
    <w:p w:rsidR="00000000" w:rsidRPr="004E7197" w:rsidP="004E7197">
      <w:pPr>
        <w:pStyle w:val="ListBullet2"/>
      </w:pPr>
      <w:r w:rsidRPr="004E7197">
        <w:t>dabbing</w:t>
      </w:r>
    </w:p>
    <w:p w:rsidR="00000000" w:rsidRPr="004E7197" w:rsidP="004E7197">
      <w:pPr>
        <w:pStyle w:val="ListBullet2"/>
      </w:pPr>
      <w:r w:rsidRPr="004E7197">
        <w:t>paint mixing techniques</w:t>
      </w:r>
    </w:p>
    <w:p w:rsidR="00000000" w:rsidRPr="004E7197" w:rsidP="004E7197">
      <w:pPr>
        <w:pStyle w:val="ListBullet2"/>
      </w:pPr>
      <w:r w:rsidRPr="004E7197">
        <w:t>using paint codes when matching</w:t>
      </w:r>
    </w:p>
    <w:p w:rsidR="00000000" w:rsidRPr="004E7197" w:rsidP="004E7197">
      <w:pPr>
        <w:pStyle w:val="ListBullet2"/>
      </w:pPr>
      <w:r w:rsidRPr="004E7197">
        <w:t>spraying techniques</w:t>
      </w:r>
    </w:p>
    <w:p w:rsidR="00000000" w:rsidRPr="004E7197" w:rsidP="004E7197">
      <w:pPr>
        <w:pStyle w:val="ListBullet2"/>
      </w:pPr>
      <w:r w:rsidRPr="004E7197">
        <w:t>drying procedures</w:t>
      </w:r>
    </w:p>
    <w:p w:rsidR="00000000" w:rsidRPr="004E7197" w:rsidP="004E7197">
      <w:pPr>
        <w:pStyle w:val="ListBullet2"/>
      </w:pPr>
      <w:r w:rsidRPr="004E7197">
        <w:t>paint mixing methods</w:t>
      </w:r>
    </w:p>
    <w:p w:rsidR="00000000" w:rsidRPr="004E7197" w:rsidP="004E7197">
      <w:pPr>
        <w:pStyle w:val="ListBullet2"/>
      </w:pPr>
      <w:r w:rsidRPr="004E7197">
        <w:t>paint thinning methods</w:t>
      </w:r>
    </w:p>
    <w:p w:rsidR="00000000" w:rsidRPr="004E7197" w:rsidP="004E7197">
      <w:pPr>
        <w:pStyle w:val="ListBullet2"/>
      </w:pPr>
      <w:r w:rsidRPr="004E7197">
        <w:t>appropriate light sources</w:t>
      </w:r>
    </w:p>
    <w:p w:rsidR="00000000" w:rsidRPr="004E7197" w:rsidP="004E7197">
      <w:pPr>
        <w:pStyle w:val="ListBullet"/>
      </w:pPr>
      <w:r w:rsidRPr="004E7197">
        <w:t>procedures for protecting vehicle and components when colour matching</w:t>
      </w:r>
    </w:p>
    <w:p w:rsidR="00000000" w:rsidRPr="004E7197" w:rsidP="004E7197">
      <w:pPr>
        <w:pStyle w:val="ListBullet"/>
      </w:pPr>
      <w:r w:rsidRPr="004E7197">
        <w:t xml:space="preserve">procedures for final inspection of completed </w:t>
      </w:r>
      <w:r w:rsidRPr="004E7197">
        <w:t>solid colour matching.</w:t>
      </w:r>
    </w:p>
    <w:p w:rsidR="00000000" w:rsidRPr="004E7197" w:rsidP="004E7197">
      <w:pPr>
        <w:pStyle w:val="AllowPageBreak"/>
      </w:pPr>
    </w:p>
    <w:p w:rsidR="00000000" w:rsidRPr="004E7197" w:rsidP="004E7197">
      <w:pPr>
        <w:pStyle w:val="Heading1"/>
      </w:pPr>
      <w:bookmarkStart w:id="4" w:name="O_1130748"/>
      <w:bookmarkEnd w:id="4"/>
      <w:r w:rsidRPr="004E7197">
        <w:t>Assessment Conditions</w:t>
      </w:r>
    </w:p>
    <w:p w:rsidR="00000000" w:rsidRPr="004E7197" w:rsidP="00FD4DEC">
      <w:pPr>
        <w:pStyle w:val="BodyText"/>
      </w:pPr>
      <w:r w:rsidRPr="004E7197">
        <w:t>Competency is to be assessed in the workplace or a simulated environment that accurately reflects performance in a real workplace setting.</w:t>
      </w:r>
    </w:p>
    <w:p w:rsidR="00000000" w:rsidRPr="004E7197" w:rsidP="00FD4DEC">
      <w:pPr>
        <w:pStyle w:val="BodyText"/>
      </w:pPr>
      <w:r w:rsidRPr="004E7197">
        <w:t>Assessment must include direct observation of task.</w:t>
      </w:r>
    </w:p>
    <w:p w:rsidR="00000000" w:rsidRPr="004E7197" w:rsidP="00FD4DEC">
      <w:pPr>
        <w:pStyle w:val="BodyText"/>
      </w:pPr>
      <w:r w:rsidRPr="004E7197">
        <w:t>Where assessment of competency includes third-party evidence, individuals must provide evidence that links them to the direct gloss solid paint colour they have matched to vehicles or components, e.g. repair orders.</w:t>
      </w:r>
    </w:p>
    <w:p w:rsidR="00000000" w:rsidRPr="004E7197" w:rsidP="00FD4DEC">
      <w:pPr>
        <w:pStyle w:val="BodyText"/>
      </w:pPr>
      <w:r w:rsidRPr="004E7197">
        <w:t>Assessors must verify performance eviden</w:t>
      </w:r>
      <w:r w:rsidRPr="004E7197">
        <w:t>ce through questioning on skills and knowledge to ensure correct interpretation and application.</w:t>
      </w:r>
    </w:p>
    <w:p w:rsidR="00000000" w:rsidRPr="004E7197" w:rsidP="00FD4DEC">
      <w:pPr>
        <w:pStyle w:val="BodyText"/>
      </w:pPr>
      <w:r w:rsidRPr="004E7197">
        <w:t>The following resources must be made available:</w:t>
      </w:r>
    </w:p>
    <w:p w:rsidR="00000000" w:rsidRPr="004E7197" w:rsidP="004E7197">
      <w:pPr>
        <w:pStyle w:val="ListBullet"/>
      </w:pPr>
      <w:r w:rsidRPr="004E7197">
        <w:t>automotive repair workplace or simulated workplace</w:t>
      </w:r>
    </w:p>
    <w:p w:rsidR="00000000" w:rsidRPr="004E7197" w:rsidP="004E7197">
      <w:pPr>
        <w:pStyle w:val="ListBullet"/>
      </w:pPr>
      <w:r w:rsidRPr="004E7197">
        <w:t>workplace instructions</w:t>
      </w:r>
    </w:p>
    <w:p w:rsidR="00000000" w:rsidRPr="004E7197" w:rsidP="004E7197">
      <w:pPr>
        <w:pStyle w:val="ListBullet"/>
      </w:pPr>
      <w:r w:rsidRPr="004E7197">
        <w:t>OEM paint codes and specifications</w:t>
      </w:r>
    </w:p>
    <w:p w:rsidR="00000000" w:rsidRPr="004E7197" w:rsidP="004E7197">
      <w:pPr>
        <w:pStyle w:val="ListBullet"/>
      </w:pPr>
      <w:r w:rsidRPr="004E7197">
        <w:t>T</w:t>
      </w:r>
      <w:r w:rsidRPr="004E7197">
        <w:t>DS and SDS for paint materials</w:t>
      </w:r>
    </w:p>
    <w:p w:rsidR="00000000" w:rsidRPr="004E7197" w:rsidP="004E7197">
      <w:pPr>
        <w:pStyle w:val="ListBullet"/>
      </w:pPr>
      <w:r w:rsidRPr="004E7197">
        <w:t>PPE required to colour match direct gloss solid paint colours</w:t>
      </w:r>
    </w:p>
    <w:p w:rsidR="00000000" w:rsidRPr="004E7197" w:rsidP="004E7197">
      <w:pPr>
        <w:pStyle w:val="ListBullet"/>
      </w:pPr>
      <w:r w:rsidRPr="004E7197">
        <w:t>colour test cards</w:t>
      </w:r>
    </w:p>
    <w:p w:rsidR="00000000" w:rsidRPr="004E7197" w:rsidP="004E7197">
      <w:pPr>
        <w:pStyle w:val="ListBullet"/>
      </w:pPr>
      <w:r w:rsidRPr="004E7197">
        <w:t>paint and materials to colour match solid paint colours</w:t>
      </w:r>
    </w:p>
    <w:p w:rsidR="00000000" w:rsidRPr="004E7197" w:rsidP="004E7197">
      <w:pPr>
        <w:pStyle w:val="ListBullet"/>
      </w:pPr>
      <w:r w:rsidRPr="004E7197">
        <w:t>three different painted vehicle panels requiring colour matching of direct gloss solid pa</w:t>
      </w:r>
      <w:r w:rsidRPr="004E7197">
        <w:t>int</w:t>
      </w:r>
    </w:p>
    <w:p w:rsidR="00000000" w:rsidRPr="004E7197" w:rsidP="004E7197">
      <w:pPr>
        <w:pStyle w:val="ListBullet"/>
      </w:pPr>
      <w:r w:rsidRPr="004E7197">
        <w:t>tools, equipment and materials appropriate for matching direct gloss solid paint colour on vehicles or components.</w:t>
      </w:r>
    </w:p>
    <w:p w:rsidR="00000000" w:rsidRPr="004E7197" w:rsidP="004E7197">
      <w:pPr>
        <w:pStyle w:val="List"/>
      </w:pPr>
    </w:p>
    <w:p w:rsidR="00000000" w:rsidRPr="004E7197" w:rsidP="00FD4DEC">
      <w:pPr>
        <w:pStyle w:val="BodyText"/>
      </w:pPr>
      <w:r w:rsidRPr="004E7197">
        <w:t>Assessors of this unit must satisfy the requirements for assessors in applicable vocational education and training legislation, framewor</w:t>
      </w:r>
      <w:r w:rsidRPr="004E7197">
        <w:t>ks and/or standards.</w:t>
      </w:r>
    </w:p>
    <w:p w:rsidR="00000000" w:rsidRPr="004E7197" w:rsidP="004E7197">
      <w:pPr>
        <w:pStyle w:val="Heading1"/>
      </w:pPr>
      <w:bookmarkStart w:id="5" w:name="O_1130746"/>
      <w:bookmarkEnd w:id="5"/>
      <w:r w:rsidRPr="004E7197">
        <w:t>Links</w:t>
      </w:r>
    </w:p>
    <w:p w:rsidR="00000000" w:rsidRPr="004E7197" w:rsidP="00FD4DEC">
      <w:pPr>
        <w:pStyle w:val="BodyText"/>
      </w:pPr>
      <w:r w:rsidRPr="004E71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600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E7197" w:rsidP="004E7197"/>
    <w:sectPr w:rsidSect="004E71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C" w:rsidP="004E7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DEC" w:rsidP="004E7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D4DEC" w:rsidP="004E7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197" w:rsidRPr="00FD4DEC" w:rsidP="00FD4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C" w:rsidRPr="002D2AF8" w:rsidP="004E7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AURVTP115 Match direct gloss solid paint colour on vehicles or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D4DEC" w:rsidP="004E7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4AD1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305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964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197"/>
  </w:style>
  <w:style w:type="character" w:customStyle="1" w:styleId="Heading1Char">
    <w:name w:val="Heading 1 Char"/>
    <w:basedOn w:val="DefaultParagraphFont"/>
    <w:link w:val="Heading1"/>
    <w:rsid w:val="004E7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1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71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71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7197"/>
    <w:rPr>
      <w:b/>
      <w:spacing w:val="0"/>
    </w:rPr>
  </w:style>
  <w:style w:type="paragraph" w:styleId="ListBullet2">
    <w:name w:val="List Bullet 2"/>
    <w:basedOn w:val="List2"/>
    <w:rsid w:val="004E71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7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71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7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1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7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7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1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197"/>
    <w:rPr>
      <w:i/>
    </w:rPr>
  </w:style>
  <w:style w:type="paragraph" w:styleId="Caption">
    <w:name w:val="caption"/>
    <w:basedOn w:val="BodyText"/>
    <w:next w:val="Normal"/>
    <w:qFormat/>
    <w:rsid w:val="004E7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197"/>
  </w:style>
  <w:style w:type="paragraph" w:styleId="TableofFigures">
    <w:name w:val="table of figures"/>
    <w:basedOn w:val="Normal"/>
    <w:next w:val="Normal"/>
    <w:semiHidden/>
    <w:rsid w:val="004E7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1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7197"/>
    <w:rPr>
      <w:rFonts w:ascii="Wingdings" w:hAnsi="Wingdings"/>
    </w:rPr>
  </w:style>
  <w:style w:type="paragraph" w:customStyle="1" w:styleId="TableHeading">
    <w:name w:val="Table Heading"/>
    <w:basedOn w:val="HeadingBase"/>
    <w:rsid w:val="004E7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197"/>
    <w:rPr>
      <w:color w:val="0033CC"/>
      <w:u w:val="none"/>
    </w:rPr>
  </w:style>
  <w:style w:type="paragraph" w:customStyle="1" w:styleId="BodyTextRight">
    <w:name w:val="Body Text Right"/>
    <w:basedOn w:val="BodyText"/>
    <w:rsid w:val="004E7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1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197"/>
    <w:rPr>
      <w:sz w:val="32"/>
    </w:rPr>
  </w:style>
  <w:style w:type="paragraph" w:customStyle="1" w:styleId="HeadingProcedure">
    <w:name w:val="Heading Procedure"/>
    <w:basedOn w:val="HeadingBase"/>
    <w:next w:val="Normal"/>
    <w:rsid w:val="004E7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197"/>
    <w:pPr>
      <w:spacing w:before="60" w:after="60"/>
    </w:pPr>
  </w:style>
  <w:style w:type="paragraph" w:styleId="ListContinue">
    <w:name w:val="List Continue"/>
    <w:basedOn w:val="List"/>
    <w:rsid w:val="004E7197"/>
    <w:pPr>
      <w:ind w:firstLine="0"/>
    </w:pPr>
  </w:style>
  <w:style w:type="paragraph" w:customStyle="1" w:styleId="ListNote">
    <w:name w:val="List Note"/>
    <w:basedOn w:val="List"/>
    <w:rsid w:val="004E7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197"/>
    <w:rPr>
      <w:rFonts w:ascii="Courier New" w:hAnsi="Courier New"/>
    </w:rPr>
  </w:style>
  <w:style w:type="paragraph" w:customStyle="1" w:styleId="NoteBullet">
    <w:name w:val="Note Bullet"/>
    <w:basedOn w:val="Note"/>
    <w:rsid w:val="004E7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1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7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197"/>
    <w:rPr>
      <w:b/>
      <w:smallCaps/>
    </w:rPr>
  </w:style>
  <w:style w:type="paragraph" w:customStyle="1" w:styleId="TableListNumber">
    <w:name w:val="Table List Number"/>
    <w:basedOn w:val="ListNumber"/>
    <w:rsid w:val="004E7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197"/>
    <w:pPr>
      <w:numPr>
        <w:numId w:val="10"/>
      </w:numPr>
    </w:pPr>
  </w:style>
  <w:style w:type="paragraph" w:customStyle="1" w:styleId="ListAlpha2">
    <w:name w:val="List Alpha 2"/>
    <w:basedOn w:val="List2"/>
    <w:rsid w:val="004E7197"/>
    <w:pPr>
      <w:numPr>
        <w:numId w:val="9"/>
      </w:numPr>
    </w:pPr>
  </w:style>
  <w:style w:type="paragraph" w:styleId="List2">
    <w:name w:val="List 2"/>
    <w:basedOn w:val="BodyText"/>
    <w:rsid w:val="004E7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1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71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7197"/>
    <w:pPr>
      <w:numPr>
        <w:numId w:val="5"/>
      </w:numPr>
    </w:pPr>
  </w:style>
  <w:style w:type="paragraph" w:styleId="ListContinue2">
    <w:name w:val="List Continue 2"/>
    <w:basedOn w:val="List2"/>
    <w:rsid w:val="004E7197"/>
    <w:pPr>
      <w:ind w:firstLine="0"/>
    </w:pPr>
  </w:style>
  <w:style w:type="paragraph" w:styleId="ListContinue3">
    <w:name w:val="List Continue 3"/>
    <w:basedOn w:val="List3"/>
    <w:rsid w:val="004E7197"/>
    <w:pPr>
      <w:ind w:left="1021" w:firstLine="0"/>
    </w:pPr>
  </w:style>
  <w:style w:type="paragraph" w:styleId="ListContinue4">
    <w:name w:val="List Continue 4"/>
    <w:basedOn w:val="List4"/>
    <w:rsid w:val="004E7197"/>
    <w:pPr>
      <w:ind w:firstLine="0"/>
    </w:pPr>
  </w:style>
  <w:style w:type="paragraph" w:styleId="ListContinue5">
    <w:name w:val="List Continue 5"/>
    <w:basedOn w:val="List5"/>
    <w:rsid w:val="004E7197"/>
    <w:pPr>
      <w:ind w:firstLine="0"/>
    </w:pPr>
  </w:style>
  <w:style w:type="paragraph" w:styleId="ListNumber3">
    <w:name w:val="List Number 3"/>
    <w:basedOn w:val="List3"/>
    <w:rsid w:val="004E7197"/>
    <w:pPr>
      <w:numPr>
        <w:numId w:val="6"/>
      </w:numPr>
    </w:pPr>
  </w:style>
  <w:style w:type="paragraph" w:styleId="ListNumber4">
    <w:name w:val="List Number 4"/>
    <w:basedOn w:val="List4"/>
    <w:rsid w:val="004E7197"/>
    <w:pPr>
      <w:numPr>
        <w:numId w:val="7"/>
      </w:numPr>
    </w:pPr>
  </w:style>
  <w:style w:type="paragraph" w:styleId="ListNumber5">
    <w:name w:val="List Number 5"/>
    <w:basedOn w:val="List5"/>
    <w:rsid w:val="004E7197"/>
    <w:pPr>
      <w:numPr>
        <w:numId w:val="8"/>
      </w:numPr>
    </w:pPr>
  </w:style>
  <w:style w:type="paragraph" w:styleId="BlockText">
    <w:name w:val="Block Text"/>
    <w:basedOn w:val="Normal"/>
    <w:rsid w:val="004E7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197"/>
    <w:rPr>
      <w:sz w:val="16"/>
      <w:vertAlign w:val="superscript"/>
    </w:rPr>
  </w:style>
  <w:style w:type="character" w:customStyle="1" w:styleId="Symbols">
    <w:name w:val="Symbols"/>
    <w:basedOn w:val="DefaultParagraphFont"/>
    <w:rsid w:val="004E7197"/>
    <w:rPr>
      <w:rFonts w:ascii="Symbol" w:hAnsi="Symbol"/>
    </w:rPr>
  </w:style>
  <w:style w:type="character" w:customStyle="1" w:styleId="MenuOptions">
    <w:name w:val="Menu Options"/>
    <w:basedOn w:val="DefaultParagraphFont"/>
    <w:rsid w:val="004E7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197"/>
    <w:rPr>
      <w:b/>
    </w:rPr>
  </w:style>
  <w:style w:type="character" w:customStyle="1" w:styleId="Underlined">
    <w:name w:val="Underlined"/>
    <w:basedOn w:val="DefaultParagraphFont"/>
    <w:rsid w:val="004E7197"/>
    <w:rPr>
      <w:u w:val="single"/>
    </w:rPr>
  </w:style>
  <w:style w:type="paragraph" w:customStyle="1" w:styleId="TableBodyTextRight">
    <w:name w:val="Table Body Text Right"/>
    <w:basedOn w:val="TableBodyText"/>
    <w:rsid w:val="004E7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197"/>
    <w:rPr>
      <w:sz w:val="18"/>
    </w:rPr>
  </w:style>
  <w:style w:type="paragraph" w:customStyle="1" w:styleId="BodySmallRight">
    <w:name w:val="Body Small Right"/>
    <w:basedOn w:val="BodyTextRight"/>
    <w:rsid w:val="004E7197"/>
    <w:rPr>
      <w:sz w:val="18"/>
      <w:szCs w:val="18"/>
    </w:rPr>
  </w:style>
  <w:style w:type="paragraph" w:customStyle="1" w:styleId="MarginEdition">
    <w:name w:val="Margin Edition"/>
    <w:basedOn w:val="MarginNote"/>
    <w:rsid w:val="004E7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197"/>
    <w:rPr>
      <w:sz w:val="2"/>
      <w:szCs w:val="2"/>
    </w:rPr>
  </w:style>
  <w:style w:type="character" w:customStyle="1" w:styleId="Small">
    <w:name w:val="Small"/>
    <w:basedOn w:val="DefaultParagraphFont"/>
    <w:rsid w:val="004E7197"/>
    <w:rPr>
      <w:sz w:val="16"/>
    </w:rPr>
  </w:style>
  <w:style w:type="paragraph" w:customStyle="1" w:styleId="WideTable">
    <w:name w:val="Wide Table"/>
    <w:basedOn w:val="Normal"/>
    <w:rsid w:val="004E7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197"/>
  </w:style>
  <w:style w:type="paragraph" w:styleId="Quote">
    <w:name w:val="Quote"/>
    <w:basedOn w:val="Heading1"/>
    <w:link w:val="QuoteChar"/>
    <w:qFormat/>
    <w:rsid w:val="004E7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197"/>
    <w:pPr>
      <w:pageBreakBefore/>
    </w:pPr>
  </w:style>
  <w:style w:type="paragraph" w:customStyle="1" w:styleId="Border">
    <w:name w:val="Border"/>
    <w:basedOn w:val="Normal"/>
    <w:qFormat/>
    <w:rsid w:val="004E7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197"/>
    <w:rPr>
      <w:u w:val="single"/>
    </w:rPr>
  </w:style>
  <w:style w:type="character" w:customStyle="1" w:styleId="BoldandItalics">
    <w:name w:val="Bold and Italics"/>
    <w:qFormat/>
    <w:rsid w:val="004E7197"/>
    <w:rPr>
      <w:b/>
      <w:i/>
      <w:u w:val="none"/>
    </w:rPr>
  </w:style>
  <w:style w:type="paragraph" w:styleId="BalloonText">
    <w:name w:val="Balloon Text"/>
    <w:basedOn w:val="Normal"/>
    <w:link w:val="BalloonTextChar"/>
    <w:rsid w:val="004E7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197"/>
    <w:pPr>
      <w:spacing w:before="0" w:after="0"/>
    </w:pPr>
  </w:style>
  <w:style w:type="paragraph" w:customStyle="1" w:styleId="BodyTextBold">
    <w:name w:val="Body Text Bold"/>
    <w:basedOn w:val="BodyText"/>
    <w:qFormat/>
    <w:rsid w:val="004E7197"/>
    <w:rPr>
      <w:b/>
    </w:rPr>
  </w:style>
  <w:style w:type="character" w:styleId="Hyperlink">
    <w:name w:val="Hyperlink"/>
    <w:basedOn w:val="DefaultParagraphFont"/>
    <w:uiPriority w:val="99"/>
    <w:unhideWhenUsed/>
    <w:rsid w:val="00FD4D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4122</Characters>
  <Application>Microsoft Office Word</Application>
  <DocSecurity>0</DocSecurity>
  <Lines>114</Lines>
  <Paragraphs>99</Paragraphs>
  <ScaleCrop>false</ScaleCrop>
  <Company>Author-it Software Corporation Ltd.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AURVTP115 Match direct gloss solid paint colour on vehicles or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