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A85" w:rsidP="00B14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AURVTP111 Apply solid acrylic two-pack materials to vehicle components</w:t>
      </w:r>
      <w:r>
        <w:fldChar w:fldCharType="end"/>
      </w:r>
    </w:p>
    <w:p w:rsidR="00B14A85" w:rsidP="00B14A85">
      <w:pPr>
        <w:pStyle w:val="Version"/>
        <w:sectPr w:rsidSect="00885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B6F" w:rsidP="00885B6F">
      <w:pPr>
        <w:pStyle w:val="SuperHeading"/>
      </w:pPr>
      <w:r w:rsidRPr="00885B6F">
        <w:t>Assessment Requirements for AURVTP111 Apply solid acrylic two-pack materials to vehicle components</w:t>
      </w:r>
    </w:p>
    <w:p w:rsidR="00000000" w:rsidRPr="00885B6F" w:rsidP="00885B6F">
      <w:pPr>
        <w:pStyle w:val="Heading1"/>
      </w:pPr>
      <w:bookmarkStart w:id="1" w:name="O_1130675"/>
      <w:bookmarkEnd w:id="1"/>
      <w:r w:rsidRPr="00885B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8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B6F" w:rsidP="00885B6F">
            <w:pPr>
              <w:pStyle w:val="BodyText"/>
            </w:pPr>
            <w:r w:rsidRPr="00885B6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B6F">
            <w:pPr>
              <w:pStyle w:val="BodyText"/>
              <w:rPr>
                <w:lang w:val="en-NZ"/>
              </w:rPr>
            </w:pPr>
            <w:r w:rsidRPr="00885B6F">
              <w:rPr>
                <w:rStyle w:val="SpecialBold"/>
              </w:rPr>
              <w:t>Comments</w:t>
            </w:r>
          </w:p>
        </w:tc>
      </w:tr>
      <w:tr w:rsidTr="0088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B6F">
            <w:pPr>
              <w:pStyle w:val="BodyText"/>
              <w:rPr>
                <w:lang w:val="en-NZ"/>
              </w:rPr>
            </w:pPr>
            <w:r w:rsidRPr="00885B6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B6F" w:rsidP="00885B6F">
            <w:pPr>
              <w:pStyle w:val="BodyText"/>
            </w:pPr>
            <w:r w:rsidRPr="00885B6F">
              <w:t>This version first released with AUR Automotive Re</w:t>
            </w:r>
            <w:r w:rsidRPr="00885B6F">
              <w:t>tail, Service and Repair Training Package Version 6.0</w:t>
            </w:r>
          </w:p>
        </w:tc>
      </w:tr>
    </w:tbl>
    <w:p w:rsidR="00000000" w:rsidRPr="00885B6F" w:rsidP="00885B6F">
      <w:pPr>
        <w:pStyle w:val="BodyText"/>
      </w:pPr>
    </w:p>
    <w:p w:rsidR="00000000" w:rsidRPr="00885B6F" w:rsidP="00885B6F">
      <w:pPr>
        <w:pStyle w:val="AllowPageBreak"/>
      </w:pPr>
    </w:p>
    <w:p w:rsidR="00000000" w:rsidRPr="00885B6F" w:rsidP="00885B6F">
      <w:pPr>
        <w:pStyle w:val="Heading1"/>
      </w:pPr>
      <w:bookmarkStart w:id="2" w:name="O_1130678"/>
      <w:bookmarkEnd w:id="2"/>
      <w:r w:rsidRPr="00885B6F">
        <w:t>Performance Evidence</w:t>
      </w:r>
    </w:p>
    <w:p w:rsidR="00000000" w:rsidRPr="00885B6F" w:rsidP="00B14A85">
      <w:pPr>
        <w:pStyle w:val="BodyText"/>
      </w:pPr>
      <w:r w:rsidRPr="00885B6F">
        <w:t>The candidate must demonstrate the ability to complete the tasks outlined in the elements, performance criteria and foundation skills of this unit, including ev</w:t>
      </w:r>
      <w:r w:rsidRPr="00885B6F">
        <w:t>idence of the ability to:</w:t>
      </w:r>
    </w:p>
    <w:p w:rsidR="00000000" w:rsidRPr="00885B6F" w:rsidP="00885B6F">
      <w:pPr>
        <w:pStyle w:val="ListBullet"/>
      </w:pPr>
      <w:r w:rsidRPr="00885B6F">
        <w:t>apply solid acrylic two-pack materials to at least three different vehicles</w:t>
      </w:r>
    </w:p>
    <w:p w:rsidR="00000000" w:rsidRPr="00885B6F" w:rsidP="00885B6F">
      <w:pPr>
        <w:pStyle w:val="ListBullet"/>
      </w:pPr>
      <w:r w:rsidRPr="00885B6F">
        <w:t xml:space="preserve">in the course of the above work, apply solid acrylic two-pack paint to: </w:t>
      </w:r>
    </w:p>
    <w:p w:rsidR="00000000" w:rsidRPr="00885B6F" w:rsidP="00885B6F">
      <w:pPr>
        <w:pStyle w:val="ListBullet2"/>
      </w:pPr>
      <w:r w:rsidRPr="00885B6F">
        <w:t xml:space="preserve">two different vehicle panels </w:t>
      </w:r>
    </w:p>
    <w:p w:rsidR="00000000" w:rsidRPr="00885B6F" w:rsidP="00885B6F">
      <w:pPr>
        <w:pStyle w:val="ListBullet2"/>
      </w:pPr>
      <w:r w:rsidRPr="00885B6F">
        <w:t>two different vehicle full sides</w:t>
      </w:r>
    </w:p>
    <w:p w:rsidR="00000000" w:rsidRPr="00885B6F" w:rsidP="00885B6F">
      <w:pPr>
        <w:pStyle w:val="ListBullet2"/>
      </w:pPr>
      <w:r w:rsidRPr="00885B6F">
        <w:t xml:space="preserve">two different vehicle front ends or rear ends </w:t>
      </w:r>
    </w:p>
    <w:p w:rsidR="00000000" w:rsidRPr="00885B6F" w:rsidP="00885B6F">
      <w:pPr>
        <w:pStyle w:val="ListBullet"/>
      </w:pPr>
      <w:r w:rsidRPr="00885B6F">
        <w:t>check the above paintwork and rectify paint surface faults as required.</w:t>
      </w:r>
    </w:p>
    <w:p w:rsidR="00000000" w:rsidRPr="00885B6F" w:rsidP="00885B6F">
      <w:pPr>
        <w:pStyle w:val="AllowPageBreak"/>
      </w:pPr>
    </w:p>
    <w:p w:rsidR="00000000" w:rsidRPr="00885B6F" w:rsidP="00885B6F">
      <w:pPr>
        <w:pStyle w:val="Heading1"/>
      </w:pPr>
      <w:bookmarkStart w:id="3" w:name="O_1130677"/>
      <w:bookmarkEnd w:id="3"/>
      <w:r w:rsidRPr="00885B6F">
        <w:t>Knowledge Evidence</w:t>
      </w:r>
    </w:p>
    <w:p w:rsidR="00000000" w:rsidRPr="00885B6F" w:rsidP="00B14A85">
      <w:pPr>
        <w:pStyle w:val="BodyText"/>
      </w:pPr>
      <w:r w:rsidRPr="00885B6F">
        <w:t>The candidate must be able to demonstrate knowledge to complete the tasks outlined in the elements</w:t>
      </w:r>
      <w:r w:rsidRPr="00885B6F">
        <w:t>, performance criteria and foundation skills of this unit, including knowledge of:</w:t>
      </w:r>
    </w:p>
    <w:p w:rsidR="00000000" w:rsidRPr="00885B6F" w:rsidP="00885B6F">
      <w:pPr>
        <w:pStyle w:val="ListBullet"/>
      </w:pPr>
      <w:r w:rsidRPr="00885B6F">
        <w:t>methods to locate and interpret information required to apply solid acrylic two-pack materials to vehicle components, including:</w:t>
      </w:r>
    </w:p>
    <w:p w:rsidR="00000000" w:rsidRPr="00885B6F" w:rsidP="00885B6F">
      <w:pPr>
        <w:pStyle w:val="ListBullet2"/>
      </w:pPr>
      <w:r w:rsidRPr="00885B6F">
        <w:t>paint manufacturer’s specifications</w:t>
      </w:r>
    </w:p>
    <w:p w:rsidR="00000000" w:rsidRPr="00885B6F" w:rsidP="00885B6F">
      <w:pPr>
        <w:pStyle w:val="ListBullet"/>
      </w:pPr>
      <w:r w:rsidRPr="00885B6F">
        <w:t>workp</w:t>
      </w:r>
      <w:r w:rsidRPr="00885B6F">
        <w:t>lace procedures required to apply solid acrylic two-pack materials to vehicle components including:</w:t>
      </w:r>
    </w:p>
    <w:p w:rsidR="00000000" w:rsidRPr="00885B6F" w:rsidP="00885B6F">
      <w:pPr>
        <w:pStyle w:val="ListBullet2"/>
      </w:pPr>
      <w:r w:rsidRPr="00885B6F">
        <w:t xml:space="preserve">establishing the serviceability of tools and equipment </w:t>
      </w:r>
    </w:p>
    <w:p w:rsidR="00000000" w:rsidRPr="00885B6F" w:rsidP="00885B6F">
      <w:pPr>
        <w:pStyle w:val="ListBullet2"/>
      </w:pPr>
      <w:r w:rsidRPr="00885B6F">
        <w:t>documentation procedures</w:t>
      </w:r>
    </w:p>
    <w:p w:rsidR="00000000" w:rsidRPr="00885B6F" w:rsidP="00885B6F">
      <w:pPr>
        <w:pStyle w:val="ListBullet2"/>
      </w:pPr>
      <w:r w:rsidRPr="00885B6F">
        <w:t>housekeeping procedures including:</w:t>
      </w:r>
    </w:p>
    <w:p w:rsidR="00000000" w:rsidRPr="00885B6F" w:rsidP="00885B6F">
      <w:pPr>
        <w:pStyle w:val="ListBullet3"/>
      </w:pPr>
      <w:r w:rsidRPr="00885B6F">
        <w:t>examination of tools and equipment</w:t>
      </w:r>
    </w:p>
    <w:p w:rsidR="00000000" w:rsidRPr="00885B6F" w:rsidP="00885B6F">
      <w:pPr>
        <w:pStyle w:val="ListBullet3"/>
      </w:pPr>
      <w:r w:rsidRPr="00885B6F">
        <w:t>storage of equipment</w:t>
      </w:r>
    </w:p>
    <w:p w:rsidR="00000000" w:rsidRPr="00885B6F" w:rsidP="00885B6F">
      <w:pPr>
        <w:pStyle w:val="ListBullet3"/>
      </w:pPr>
      <w:r w:rsidRPr="00885B6F">
        <w:t>identification, tagging and isolation of faulty equipment</w:t>
      </w:r>
    </w:p>
    <w:p w:rsidR="00000000" w:rsidRPr="00885B6F" w:rsidP="00885B6F">
      <w:pPr>
        <w:pStyle w:val="ListBullet3"/>
      </w:pPr>
      <w:r w:rsidRPr="00885B6F">
        <w:t xml:space="preserve">disposal of excess materials </w:t>
      </w:r>
    </w:p>
    <w:p w:rsidR="00000000" w:rsidRPr="00885B6F" w:rsidP="00885B6F">
      <w:pPr>
        <w:pStyle w:val="ListBullet3"/>
      </w:pPr>
      <w:r w:rsidRPr="00885B6F">
        <w:t>recycling procedures</w:t>
      </w:r>
    </w:p>
    <w:p w:rsidR="00000000" w:rsidRPr="00885B6F" w:rsidP="00885B6F">
      <w:pPr>
        <w:pStyle w:val="ListBullet"/>
      </w:pPr>
      <w:r w:rsidRPr="00885B6F">
        <w:t>workplace health and safety (WHS) requirements relating to applying solid acrylic two-pack materials to vehicle components, i</w:t>
      </w:r>
      <w:r w:rsidRPr="00885B6F">
        <w:t>ncluding procedures for:</w:t>
      </w:r>
    </w:p>
    <w:p w:rsidR="00000000" w:rsidRPr="00885B6F" w:rsidP="00885B6F">
      <w:pPr>
        <w:pStyle w:val="ListBullet2"/>
      </w:pPr>
      <w:r w:rsidRPr="00885B6F">
        <w:t>selecting and using personal protective equipment (PPE)</w:t>
      </w:r>
    </w:p>
    <w:p w:rsidR="00000000" w:rsidRPr="00885B6F" w:rsidP="00885B6F">
      <w:pPr>
        <w:pStyle w:val="ListBullet2"/>
      </w:pPr>
      <w:r w:rsidRPr="00885B6F">
        <w:t xml:space="preserve">using technical data sheets (TDS) and safety data sheets (SDS) for solid acrylic two-pack materials </w:t>
      </w:r>
    </w:p>
    <w:p w:rsidR="00000000" w:rsidRPr="00885B6F" w:rsidP="00885B6F">
      <w:pPr>
        <w:pStyle w:val="ListBullet2"/>
      </w:pPr>
      <w:r w:rsidRPr="00885B6F">
        <w:t>handling and storing paint materials</w:t>
      </w:r>
    </w:p>
    <w:p w:rsidR="00000000" w:rsidRPr="00885B6F" w:rsidP="00885B6F">
      <w:pPr>
        <w:pStyle w:val="ListBullet2"/>
      </w:pPr>
      <w:r w:rsidRPr="00885B6F">
        <w:t>using tools and equipment</w:t>
      </w:r>
    </w:p>
    <w:p w:rsidR="00000000" w:rsidRPr="00885B6F" w:rsidP="00885B6F">
      <w:pPr>
        <w:pStyle w:val="ListBullet2"/>
      </w:pPr>
      <w:r w:rsidRPr="00885B6F">
        <w:t>using approved drying area</w:t>
      </w:r>
    </w:p>
    <w:p w:rsidR="00000000" w:rsidRPr="00885B6F" w:rsidP="00885B6F">
      <w:pPr>
        <w:pStyle w:val="ListBullet"/>
      </w:pPr>
      <w:r w:rsidRPr="00885B6F">
        <w:t>environmental requirements relating to applying solid acrylic two-pack materials to vehicle components, including procedures for trapping, storing and disposing of waste materials</w:t>
      </w:r>
    </w:p>
    <w:p w:rsidR="00000000" w:rsidRPr="00885B6F" w:rsidP="00885B6F">
      <w:pPr>
        <w:pStyle w:val="ListBullet"/>
      </w:pPr>
      <w:r w:rsidRPr="00885B6F">
        <w:t>types and use of solid acrylic two-pack paint ma</w:t>
      </w:r>
      <w:r w:rsidRPr="00885B6F">
        <w:t>terials</w:t>
      </w:r>
    </w:p>
    <w:p w:rsidR="00000000" w:rsidRPr="00885B6F" w:rsidP="00885B6F">
      <w:pPr>
        <w:pStyle w:val="ListBullet"/>
      </w:pPr>
      <w:r w:rsidRPr="00885B6F">
        <w:t>types and use of spray guns, including:</w:t>
      </w:r>
    </w:p>
    <w:p w:rsidR="00000000" w:rsidRPr="00885B6F" w:rsidP="00885B6F">
      <w:pPr>
        <w:pStyle w:val="ListBullet2"/>
      </w:pPr>
      <w:r w:rsidRPr="00885B6F">
        <w:t>spray gun operation and spraying techniques</w:t>
      </w:r>
    </w:p>
    <w:p w:rsidR="00000000" w:rsidRPr="00885B6F" w:rsidP="00885B6F">
      <w:pPr>
        <w:pStyle w:val="ListBullet2"/>
      </w:pPr>
      <w:r w:rsidRPr="00885B6F">
        <w:t>spray gun cleaning and maintenance methods</w:t>
      </w:r>
    </w:p>
    <w:p w:rsidR="00000000" w:rsidRPr="00885B6F" w:rsidP="00885B6F">
      <w:pPr>
        <w:pStyle w:val="ListBullet"/>
      </w:pPr>
      <w:r w:rsidRPr="00885B6F">
        <w:t>paint application methods and techniques, including:</w:t>
      </w:r>
    </w:p>
    <w:p w:rsidR="00000000" w:rsidRPr="00885B6F" w:rsidP="00885B6F">
      <w:pPr>
        <w:pStyle w:val="ListBullet2"/>
      </w:pPr>
      <w:r w:rsidRPr="00885B6F">
        <w:t>drying methods for solid acrylic two-pack materials</w:t>
      </w:r>
    </w:p>
    <w:p w:rsidR="00000000" w:rsidRPr="00885B6F" w:rsidP="00885B6F">
      <w:pPr>
        <w:pStyle w:val="ListBullet2"/>
      </w:pPr>
      <w:r w:rsidRPr="00885B6F">
        <w:t>paint surface</w:t>
      </w:r>
      <w:r w:rsidRPr="00885B6F">
        <w:t xml:space="preserve"> fault identification and rectification procedures</w:t>
      </w:r>
    </w:p>
    <w:p w:rsidR="00000000" w:rsidRPr="00885B6F" w:rsidP="00885B6F">
      <w:pPr>
        <w:pStyle w:val="ListBullet2"/>
      </w:pPr>
      <w:r w:rsidRPr="00885B6F">
        <w:t>correct use of positive air feed masks</w:t>
      </w:r>
    </w:p>
    <w:p w:rsidR="00000000" w:rsidRPr="00885B6F" w:rsidP="00885B6F">
      <w:pPr>
        <w:pStyle w:val="ListBullet"/>
      </w:pPr>
      <w:r w:rsidRPr="00885B6F">
        <w:t xml:space="preserve">procedures for protecting vehicle and components when applying solid acrylic two-pack materials </w:t>
      </w:r>
    </w:p>
    <w:p w:rsidR="00000000" w:rsidRPr="00885B6F" w:rsidP="00885B6F">
      <w:pPr>
        <w:pStyle w:val="ListBullet"/>
      </w:pPr>
      <w:r w:rsidRPr="00885B6F">
        <w:t>procedures for final inspection of solid acrylic two-pack painted su</w:t>
      </w:r>
      <w:r w:rsidRPr="00885B6F">
        <w:t>rfaces, including:</w:t>
      </w:r>
    </w:p>
    <w:p w:rsidR="00000000" w:rsidRPr="00885B6F" w:rsidP="00885B6F">
      <w:pPr>
        <w:pStyle w:val="ListBullet2"/>
      </w:pPr>
      <w:r w:rsidRPr="00885B6F">
        <w:t>checking colour, texture, depth and gloss</w:t>
      </w:r>
    </w:p>
    <w:p w:rsidR="00000000" w:rsidRPr="00885B6F" w:rsidP="00885B6F">
      <w:pPr>
        <w:pStyle w:val="ListBullet2"/>
      </w:pPr>
      <w:r w:rsidRPr="00885B6F">
        <w:t>ensuring paint finish is contaminant-free</w:t>
      </w:r>
    </w:p>
    <w:p w:rsidR="00000000" w:rsidRPr="00885B6F" w:rsidP="00885B6F">
      <w:pPr>
        <w:pStyle w:val="ListBullet2"/>
      </w:pPr>
      <w:r w:rsidRPr="00885B6F">
        <w:t>ensuring paint finish blends into surrounding surfaces.</w:t>
      </w:r>
    </w:p>
    <w:p w:rsidR="00000000" w:rsidRPr="00885B6F" w:rsidP="00885B6F">
      <w:pPr>
        <w:pStyle w:val="AllowPageBreak"/>
      </w:pPr>
    </w:p>
    <w:p w:rsidR="00000000" w:rsidRPr="00885B6F" w:rsidP="00885B6F">
      <w:pPr>
        <w:pStyle w:val="Heading1"/>
      </w:pPr>
      <w:bookmarkStart w:id="4" w:name="O_1130676"/>
      <w:bookmarkEnd w:id="4"/>
      <w:r w:rsidRPr="00885B6F">
        <w:t>Assessment Conditions</w:t>
      </w:r>
    </w:p>
    <w:p w:rsidR="00000000" w:rsidRPr="00885B6F" w:rsidP="00B14A85">
      <w:pPr>
        <w:pStyle w:val="BodyText"/>
      </w:pPr>
      <w:r w:rsidRPr="00885B6F">
        <w:t>Competency is to be assessed in the workplace or a simulated environment that accurately reflects performance in a real workplace setting.</w:t>
      </w:r>
    </w:p>
    <w:p w:rsidR="00000000" w:rsidRPr="00885B6F" w:rsidP="00B14A85">
      <w:pPr>
        <w:pStyle w:val="BodyText"/>
      </w:pPr>
      <w:r w:rsidRPr="00885B6F">
        <w:t>Assessment must include direct observation of tasks.</w:t>
      </w:r>
    </w:p>
    <w:p w:rsidR="00000000" w:rsidRPr="00885B6F" w:rsidP="00B14A85">
      <w:pPr>
        <w:pStyle w:val="BodyText"/>
      </w:pPr>
      <w:r w:rsidRPr="00885B6F">
        <w:t>Where assessment of competency includes third-party evidence, in</w:t>
      </w:r>
      <w:r w:rsidRPr="00885B6F">
        <w:t>dividuals must provide evidence that links them to the solid acrylic two-pack materials they have applied to vehicle components, e.g. repair orders.</w:t>
      </w:r>
    </w:p>
    <w:p w:rsidR="00000000" w:rsidRPr="00885B6F" w:rsidP="00B14A85">
      <w:pPr>
        <w:pStyle w:val="BodyText"/>
      </w:pPr>
      <w:r w:rsidRPr="00885B6F">
        <w:t>Assessors must verify performance evidence through questioning on skills and knowledge to ensure correct in</w:t>
      </w:r>
      <w:r w:rsidRPr="00885B6F">
        <w:t>terpretation and application.</w:t>
      </w:r>
    </w:p>
    <w:p w:rsidR="00000000" w:rsidRPr="00885B6F" w:rsidP="00B14A85">
      <w:pPr>
        <w:pStyle w:val="BodyText"/>
      </w:pPr>
      <w:r w:rsidRPr="00885B6F">
        <w:t>The following resources must be made available:</w:t>
      </w:r>
    </w:p>
    <w:p w:rsidR="00000000" w:rsidRPr="00885B6F" w:rsidP="00885B6F">
      <w:pPr>
        <w:pStyle w:val="ListBullet"/>
      </w:pPr>
      <w:r w:rsidRPr="00885B6F">
        <w:t>automotive repair workplace or simulated workplace</w:t>
      </w:r>
    </w:p>
    <w:p w:rsidR="00000000" w:rsidRPr="00885B6F" w:rsidP="00885B6F">
      <w:pPr>
        <w:pStyle w:val="ListBullet"/>
      </w:pPr>
      <w:r w:rsidRPr="00885B6F">
        <w:t>workplace instructions</w:t>
      </w:r>
    </w:p>
    <w:p w:rsidR="00000000" w:rsidRPr="00885B6F" w:rsidP="00885B6F">
      <w:pPr>
        <w:pStyle w:val="ListBullet"/>
      </w:pPr>
      <w:r w:rsidRPr="00885B6F">
        <w:t>manufacturer specifications</w:t>
      </w:r>
    </w:p>
    <w:p w:rsidR="00000000" w:rsidRPr="00885B6F" w:rsidP="00885B6F">
      <w:pPr>
        <w:pStyle w:val="ListBullet"/>
      </w:pPr>
      <w:r w:rsidRPr="00885B6F">
        <w:t>TDS and SDS for solid acrylic two-pack materials</w:t>
      </w:r>
    </w:p>
    <w:p w:rsidR="00000000" w:rsidRPr="00885B6F" w:rsidP="00885B6F">
      <w:pPr>
        <w:pStyle w:val="ListBullet"/>
      </w:pPr>
      <w:r w:rsidRPr="00885B6F">
        <w:t>PPE required to apply soli</w:t>
      </w:r>
      <w:r w:rsidRPr="00885B6F">
        <w:t>d acrylic two-pack materials</w:t>
      </w:r>
    </w:p>
    <w:p w:rsidR="00000000" w:rsidRPr="00885B6F" w:rsidP="00885B6F">
      <w:pPr>
        <w:pStyle w:val="ListBullet"/>
      </w:pPr>
      <w:r w:rsidRPr="00885B6F">
        <w:t>solid acrylic two-pack paint materials</w:t>
      </w:r>
    </w:p>
    <w:p w:rsidR="00000000" w:rsidRPr="00885B6F" w:rsidP="00885B6F">
      <w:pPr>
        <w:pStyle w:val="ListBullet"/>
      </w:pPr>
      <w:r w:rsidRPr="00885B6F">
        <w:t>three different vehicles with components specified in the performance evidence requiring spray painting using solid acrylic two-pack materials tools, equipment and materials appropriate for applying solid acrylic two-pack materials.</w:t>
      </w:r>
    </w:p>
    <w:p w:rsidR="00000000" w:rsidRPr="00885B6F" w:rsidP="00885B6F">
      <w:pPr>
        <w:pStyle w:val="ListBullet"/>
      </w:pPr>
      <w:r w:rsidRPr="00885B6F">
        <w:t>tools, equipment and ma</w:t>
      </w:r>
      <w:r w:rsidRPr="00885B6F">
        <w:t>terials appropriate for applying solid acrylic two-pack materials.</w:t>
      </w:r>
    </w:p>
    <w:p w:rsidR="00000000" w:rsidRPr="00885B6F" w:rsidP="00885B6F">
      <w:pPr>
        <w:pStyle w:val="List"/>
      </w:pPr>
    </w:p>
    <w:p w:rsidR="00000000" w:rsidRPr="00885B6F" w:rsidP="00B14A85">
      <w:pPr>
        <w:pStyle w:val="BodyText"/>
      </w:pPr>
      <w:r w:rsidRPr="00885B6F">
        <w:t>Assessors of this unit must satisfy the requirements for assessors in applicable vocational education and training legislation, frameworks and/or standards.</w:t>
      </w:r>
    </w:p>
    <w:p w:rsidR="00000000" w:rsidRPr="00885B6F" w:rsidP="00885B6F">
      <w:pPr>
        <w:pStyle w:val="Heading1"/>
      </w:pPr>
      <w:bookmarkStart w:id="5" w:name="O_1130674"/>
      <w:bookmarkEnd w:id="5"/>
      <w:r w:rsidRPr="00885B6F">
        <w:t>Links</w:t>
      </w:r>
    </w:p>
    <w:p w:rsidR="00000000" w:rsidRPr="00885B6F" w:rsidP="00B14A85">
      <w:pPr>
        <w:pStyle w:val="BodyText"/>
      </w:pPr>
      <w:r w:rsidRPr="00885B6F">
        <w:t>Compan</w:t>
      </w:r>
      <w:r w:rsidRPr="00885B6F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909B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85B6F" w:rsidP="00885B6F"/>
    <w:sectPr w:rsidSect="00885B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6F" w:rsidRPr="00B14A85" w:rsidP="00B14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85" w:rsidP="00885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A85" w:rsidP="00885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14A85" w:rsidP="00885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B6F" w:rsidRPr="00B14A85" w:rsidP="00B14A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A85" w:rsidRPr="002D2AF8" w:rsidP="00885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AURVTP111 Apply solid acrylic two-pack materials to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14A85" w:rsidP="00885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2F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0C5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8C8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B6F"/>
  </w:style>
  <w:style w:type="character" w:customStyle="1" w:styleId="Heading1Char">
    <w:name w:val="Heading 1 Char"/>
    <w:basedOn w:val="DefaultParagraphFont"/>
    <w:link w:val="Heading1"/>
    <w:rsid w:val="00885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B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5B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5B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B6F"/>
    <w:rPr>
      <w:b/>
      <w:spacing w:val="0"/>
    </w:rPr>
  </w:style>
  <w:style w:type="paragraph" w:styleId="ListBullet2">
    <w:name w:val="List Bullet 2"/>
    <w:basedOn w:val="List2"/>
    <w:rsid w:val="00885B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5B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5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B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5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B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B6F"/>
    <w:rPr>
      <w:i/>
    </w:rPr>
  </w:style>
  <w:style w:type="paragraph" w:styleId="Caption">
    <w:name w:val="caption"/>
    <w:basedOn w:val="BodyText"/>
    <w:next w:val="Normal"/>
    <w:qFormat/>
    <w:rsid w:val="00885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B6F"/>
  </w:style>
  <w:style w:type="paragraph" w:styleId="TableofFigures">
    <w:name w:val="table of figures"/>
    <w:basedOn w:val="Normal"/>
    <w:next w:val="Normal"/>
    <w:semiHidden/>
    <w:rsid w:val="00885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B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5B6F"/>
    <w:rPr>
      <w:rFonts w:ascii="Wingdings" w:hAnsi="Wingdings"/>
    </w:rPr>
  </w:style>
  <w:style w:type="paragraph" w:customStyle="1" w:styleId="TableHeading">
    <w:name w:val="Table Heading"/>
    <w:basedOn w:val="HeadingBase"/>
    <w:rsid w:val="00885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B6F"/>
    <w:rPr>
      <w:color w:val="0033CC"/>
      <w:u w:val="none"/>
    </w:rPr>
  </w:style>
  <w:style w:type="paragraph" w:customStyle="1" w:styleId="BodyTextRight">
    <w:name w:val="Body Text Right"/>
    <w:basedOn w:val="BodyText"/>
    <w:rsid w:val="00885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B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B6F"/>
    <w:rPr>
      <w:sz w:val="32"/>
    </w:rPr>
  </w:style>
  <w:style w:type="paragraph" w:customStyle="1" w:styleId="HeadingProcedure">
    <w:name w:val="Heading Procedure"/>
    <w:basedOn w:val="HeadingBase"/>
    <w:next w:val="Normal"/>
    <w:rsid w:val="00885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B6F"/>
    <w:pPr>
      <w:spacing w:before="60" w:after="60"/>
    </w:pPr>
  </w:style>
  <w:style w:type="paragraph" w:styleId="ListContinue">
    <w:name w:val="List Continue"/>
    <w:basedOn w:val="List"/>
    <w:rsid w:val="00885B6F"/>
    <w:pPr>
      <w:ind w:firstLine="0"/>
    </w:pPr>
  </w:style>
  <w:style w:type="paragraph" w:customStyle="1" w:styleId="ListNote">
    <w:name w:val="List Note"/>
    <w:basedOn w:val="List"/>
    <w:rsid w:val="00885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B6F"/>
    <w:rPr>
      <w:rFonts w:ascii="Courier New" w:hAnsi="Courier New"/>
    </w:rPr>
  </w:style>
  <w:style w:type="paragraph" w:customStyle="1" w:styleId="NoteBullet">
    <w:name w:val="Note Bullet"/>
    <w:basedOn w:val="Note"/>
    <w:rsid w:val="00885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B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5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B6F"/>
    <w:rPr>
      <w:b/>
      <w:smallCaps/>
    </w:rPr>
  </w:style>
  <w:style w:type="paragraph" w:customStyle="1" w:styleId="TableListNumber">
    <w:name w:val="Table List Number"/>
    <w:basedOn w:val="ListNumber"/>
    <w:rsid w:val="00885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B6F"/>
    <w:pPr>
      <w:numPr>
        <w:numId w:val="10"/>
      </w:numPr>
    </w:pPr>
  </w:style>
  <w:style w:type="paragraph" w:customStyle="1" w:styleId="ListAlpha2">
    <w:name w:val="List Alpha 2"/>
    <w:basedOn w:val="List2"/>
    <w:rsid w:val="00885B6F"/>
    <w:pPr>
      <w:numPr>
        <w:numId w:val="9"/>
      </w:numPr>
    </w:pPr>
  </w:style>
  <w:style w:type="paragraph" w:styleId="List2">
    <w:name w:val="List 2"/>
    <w:basedOn w:val="BodyText"/>
    <w:rsid w:val="00885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B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5B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5B6F"/>
    <w:pPr>
      <w:numPr>
        <w:numId w:val="5"/>
      </w:numPr>
    </w:pPr>
  </w:style>
  <w:style w:type="paragraph" w:styleId="ListContinue2">
    <w:name w:val="List Continue 2"/>
    <w:basedOn w:val="List2"/>
    <w:rsid w:val="00885B6F"/>
    <w:pPr>
      <w:ind w:firstLine="0"/>
    </w:pPr>
  </w:style>
  <w:style w:type="paragraph" w:styleId="ListContinue3">
    <w:name w:val="List Continue 3"/>
    <w:basedOn w:val="List3"/>
    <w:rsid w:val="00885B6F"/>
    <w:pPr>
      <w:ind w:left="1021" w:firstLine="0"/>
    </w:pPr>
  </w:style>
  <w:style w:type="paragraph" w:styleId="ListContinue4">
    <w:name w:val="List Continue 4"/>
    <w:basedOn w:val="List4"/>
    <w:rsid w:val="00885B6F"/>
    <w:pPr>
      <w:ind w:firstLine="0"/>
    </w:pPr>
  </w:style>
  <w:style w:type="paragraph" w:styleId="ListContinue5">
    <w:name w:val="List Continue 5"/>
    <w:basedOn w:val="List5"/>
    <w:rsid w:val="00885B6F"/>
    <w:pPr>
      <w:ind w:firstLine="0"/>
    </w:pPr>
  </w:style>
  <w:style w:type="paragraph" w:styleId="ListNumber3">
    <w:name w:val="List Number 3"/>
    <w:basedOn w:val="List3"/>
    <w:rsid w:val="00885B6F"/>
    <w:pPr>
      <w:numPr>
        <w:numId w:val="6"/>
      </w:numPr>
    </w:pPr>
  </w:style>
  <w:style w:type="paragraph" w:styleId="ListNumber4">
    <w:name w:val="List Number 4"/>
    <w:basedOn w:val="List4"/>
    <w:rsid w:val="00885B6F"/>
    <w:pPr>
      <w:numPr>
        <w:numId w:val="7"/>
      </w:numPr>
    </w:pPr>
  </w:style>
  <w:style w:type="paragraph" w:styleId="ListNumber5">
    <w:name w:val="List Number 5"/>
    <w:basedOn w:val="List5"/>
    <w:rsid w:val="00885B6F"/>
    <w:pPr>
      <w:numPr>
        <w:numId w:val="8"/>
      </w:numPr>
    </w:pPr>
  </w:style>
  <w:style w:type="paragraph" w:styleId="BlockText">
    <w:name w:val="Block Text"/>
    <w:basedOn w:val="Normal"/>
    <w:rsid w:val="00885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B6F"/>
    <w:rPr>
      <w:sz w:val="16"/>
      <w:vertAlign w:val="superscript"/>
    </w:rPr>
  </w:style>
  <w:style w:type="character" w:customStyle="1" w:styleId="Symbols">
    <w:name w:val="Symbols"/>
    <w:basedOn w:val="DefaultParagraphFont"/>
    <w:rsid w:val="00885B6F"/>
    <w:rPr>
      <w:rFonts w:ascii="Symbol" w:hAnsi="Symbol"/>
    </w:rPr>
  </w:style>
  <w:style w:type="character" w:customStyle="1" w:styleId="MenuOptions">
    <w:name w:val="Menu Options"/>
    <w:basedOn w:val="DefaultParagraphFont"/>
    <w:rsid w:val="00885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B6F"/>
    <w:rPr>
      <w:b/>
    </w:rPr>
  </w:style>
  <w:style w:type="character" w:customStyle="1" w:styleId="Underlined">
    <w:name w:val="Underlined"/>
    <w:basedOn w:val="DefaultParagraphFont"/>
    <w:rsid w:val="00885B6F"/>
    <w:rPr>
      <w:u w:val="single"/>
    </w:rPr>
  </w:style>
  <w:style w:type="paragraph" w:customStyle="1" w:styleId="TableBodyTextRight">
    <w:name w:val="Table Body Text Right"/>
    <w:basedOn w:val="TableBodyText"/>
    <w:rsid w:val="00885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B6F"/>
    <w:rPr>
      <w:sz w:val="18"/>
    </w:rPr>
  </w:style>
  <w:style w:type="paragraph" w:customStyle="1" w:styleId="BodySmallRight">
    <w:name w:val="Body Small Right"/>
    <w:basedOn w:val="BodyTextRight"/>
    <w:rsid w:val="00885B6F"/>
    <w:rPr>
      <w:sz w:val="18"/>
      <w:szCs w:val="18"/>
    </w:rPr>
  </w:style>
  <w:style w:type="paragraph" w:customStyle="1" w:styleId="MarginEdition">
    <w:name w:val="Margin Edition"/>
    <w:basedOn w:val="MarginNote"/>
    <w:rsid w:val="00885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B6F"/>
    <w:rPr>
      <w:sz w:val="2"/>
      <w:szCs w:val="2"/>
    </w:rPr>
  </w:style>
  <w:style w:type="character" w:customStyle="1" w:styleId="Small">
    <w:name w:val="Small"/>
    <w:basedOn w:val="DefaultParagraphFont"/>
    <w:rsid w:val="00885B6F"/>
    <w:rPr>
      <w:sz w:val="16"/>
    </w:rPr>
  </w:style>
  <w:style w:type="paragraph" w:customStyle="1" w:styleId="WideTable">
    <w:name w:val="Wide Table"/>
    <w:basedOn w:val="Normal"/>
    <w:rsid w:val="00885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B6F"/>
  </w:style>
  <w:style w:type="paragraph" w:styleId="Quote">
    <w:name w:val="Quote"/>
    <w:basedOn w:val="Heading1"/>
    <w:link w:val="QuoteChar"/>
    <w:qFormat/>
    <w:rsid w:val="00885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B6F"/>
    <w:pPr>
      <w:pageBreakBefore/>
    </w:pPr>
  </w:style>
  <w:style w:type="paragraph" w:customStyle="1" w:styleId="Border">
    <w:name w:val="Border"/>
    <w:basedOn w:val="Normal"/>
    <w:qFormat/>
    <w:rsid w:val="00885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B6F"/>
    <w:rPr>
      <w:u w:val="single"/>
    </w:rPr>
  </w:style>
  <w:style w:type="character" w:customStyle="1" w:styleId="BoldandItalics">
    <w:name w:val="Bold and Italics"/>
    <w:qFormat/>
    <w:rsid w:val="00885B6F"/>
    <w:rPr>
      <w:b/>
      <w:i/>
      <w:u w:val="none"/>
    </w:rPr>
  </w:style>
  <w:style w:type="paragraph" w:styleId="BalloonText">
    <w:name w:val="Balloon Text"/>
    <w:basedOn w:val="Normal"/>
    <w:link w:val="BalloonTextChar"/>
    <w:rsid w:val="00885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B6F"/>
    <w:pPr>
      <w:spacing w:before="0" w:after="0"/>
    </w:pPr>
  </w:style>
  <w:style w:type="paragraph" w:customStyle="1" w:styleId="BodyTextBold">
    <w:name w:val="Body Text Bold"/>
    <w:basedOn w:val="BodyText"/>
    <w:qFormat/>
    <w:rsid w:val="00885B6F"/>
    <w:rPr>
      <w:b/>
    </w:rPr>
  </w:style>
  <w:style w:type="character" w:styleId="Hyperlink">
    <w:name w:val="Hyperlink"/>
    <w:basedOn w:val="DefaultParagraphFont"/>
    <w:uiPriority w:val="99"/>
    <w:unhideWhenUsed/>
    <w:rsid w:val="00B14A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4008</Characters>
  <Application>Microsoft Office Word</Application>
  <DocSecurity>0</DocSecurity>
  <Lines>97</Lines>
  <Paragraphs>78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AURVTP111 Apply solid acrylic two-pack materials to vehicle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