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94C" w:rsidP="00B00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AURVTP029 Prepare surface and prime repaired body panels</w:t>
      </w:r>
      <w:r>
        <w:fldChar w:fldCharType="end"/>
      </w:r>
    </w:p>
    <w:p w:rsidR="00B0094C" w:rsidP="00B0094C">
      <w:pPr>
        <w:pStyle w:val="Version"/>
        <w:sectPr w:rsidSect="00D97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361" w:rsidP="00D97361">
      <w:pPr>
        <w:pStyle w:val="SuperHeading"/>
      </w:pPr>
      <w:r w:rsidRPr="00D97361">
        <w:t>Assessment Requirements for AURVTP029 Prepare surface and prime repaired body panels</w:t>
      </w:r>
    </w:p>
    <w:p w:rsidR="00000000" w:rsidRPr="00D97361" w:rsidP="00D97361">
      <w:pPr>
        <w:pStyle w:val="Heading1"/>
      </w:pPr>
      <w:bookmarkStart w:id="1" w:name="O_660535"/>
      <w:bookmarkEnd w:id="1"/>
      <w:r w:rsidRPr="00D9736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009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61" w:rsidP="00D97361">
            <w:pPr>
              <w:pStyle w:val="BodyText"/>
            </w:pPr>
            <w:r w:rsidRPr="00D9736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61">
            <w:pPr>
              <w:pStyle w:val="BodyText"/>
              <w:rPr>
                <w:lang w:val="en-NZ"/>
              </w:rPr>
            </w:pPr>
            <w:r w:rsidRPr="00D97361">
              <w:rPr>
                <w:rStyle w:val="SpecialBold"/>
              </w:rPr>
              <w:t>Comment</w:t>
            </w:r>
          </w:p>
        </w:tc>
      </w:tr>
      <w:tr w:rsidTr="00B009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61">
            <w:pPr>
              <w:pStyle w:val="BodyText"/>
              <w:rPr>
                <w:lang w:val="en-NZ"/>
              </w:rPr>
            </w:pPr>
            <w:r w:rsidRPr="00D97361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61" w:rsidP="00D97361">
            <w:pPr>
              <w:pStyle w:val="BodyText"/>
            </w:pPr>
            <w:r w:rsidRPr="00D97361">
              <w:t>New unit of competency</w:t>
            </w:r>
          </w:p>
        </w:tc>
      </w:tr>
    </w:tbl>
    <w:p w:rsidR="00000000" w:rsidRPr="00D97361" w:rsidP="00D97361">
      <w:pPr>
        <w:pStyle w:val="BodyText"/>
      </w:pPr>
    </w:p>
    <w:p w:rsidR="00000000" w:rsidRPr="00D97361" w:rsidP="00D97361">
      <w:pPr>
        <w:pStyle w:val="AllowPageBreak"/>
      </w:pPr>
    </w:p>
    <w:p w:rsidR="00000000" w:rsidRPr="00D97361" w:rsidP="00D97361">
      <w:pPr>
        <w:pStyle w:val="Heading1"/>
      </w:pPr>
      <w:bookmarkStart w:id="2" w:name="O_660538"/>
      <w:bookmarkEnd w:id="2"/>
      <w:r w:rsidRPr="00D97361">
        <w:t>Performance Evidence</w:t>
      </w:r>
    </w:p>
    <w:p w:rsidR="00000000" w:rsidRPr="00D97361" w:rsidP="00B0094C">
      <w:pPr>
        <w:pStyle w:val="BodyText"/>
      </w:pPr>
      <w:r w:rsidRPr="00D97361">
        <w:t>Before competency can be determined, individuals must demonstrate they can perform the following according to the standard defined in this unit’s elements, performance criteria and foundation skills:</w:t>
      </w:r>
    </w:p>
    <w:p w:rsidR="00000000" w:rsidRPr="00D97361" w:rsidP="00D97361">
      <w:pPr>
        <w:pStyle w:val="ListBullet"/>
      </w:pPr>
      <w:r w:rsidRPr="00D97361">
        <w:t>correctly surface prepare and prime a minimum of two ma</w:t>
      </w:r>
      <w:r w:rsidRPr="00D97361">
        <w:t>jor vehicle body panels.</w:t>
      </w:r>
    </w:p>
    <w:p w:rsidR="00000000" w:rsidRPr="00D97361" w:rsidP="00D97361">
      <w:pPr>
        <w:pStyle w:val="AllowPageBreak"/>
      </w:pPr>
    </w:p>
    <w:p w:rsidR="00000000" w:rsidRPr="00D97361" w:rsidP="00D97361">
      <w:pPr>
        <w:pStyle w:val="Heading1"/>
      </w:pPr>
      <w:bookmarkStart w:id="3" w:name="O_660537"/>
      <w:bookmarkEnd w:id="3"/>
      <w:r w:rsidRPr="00D97361">
        <w:t>Knowledge Evidence</w:t>
      </w:r>
    </w:p>
    <w:p w:rsidR="00000000" w:rsidRPr="00D97361" w:rsidP="00B0094C">
      <w:pPr>
        <w:pStyle w:val="BodyText"/>
      </w:pPr>
      <w:r w:rsidRPr="00D97361">
        <w:t>Individuals must be able to demonstrate knowledge of:</w:t>
      </w:r>
    </w:p>
    <w:p w:rsidR="00000000" w:rsidRPr="00D97361" w:rsidP="00D97361">
      <w:pPr>
        <w:pStyle w:val="ListBullet"/>
      </w:pPr>
      <w:r w:rsidRPr="00D97361">
        <w:t>key aspects of work health and safety (WHS), occupational health and safety (OHS) and environmental requirements, including:</w:t>
      </w:r>
    </w:p>
    <w:p w:rsidR="00000000" w:rsidRPr="00D97361" w:rsidP="00D97361">
      <w:pPr>
        <w:pStyle w:val="ListBullet2"/>
      </w:pPr>
      <w:r w:rsidRPr="00D97361">
        <w:t>use of personal protective equipment, including safety glasses, ear protection and safety footwear</w:t>
      </w:r>
    </w:p>
    <w:p w:rsidR="00000000" w:rsidRPr="00D97361" w:rsidP="00D97361">
      <w:pPr>
        <w:pStyle w:val="ListBullet2"/>
      </w:pPr>
      <w:r w:rsidRPr="00D97361">
        <w:t>use of hand tools, including air and electric sanders</w:t>
      </w:r>
    </w:p>
    <w:p w:rsidR="00000000" w:rsidRPr="00D97361" w:rsidP="00D97361">
      <w:pPr>
        <w:pStyle w:val="ListBullet2"/>
      </w:pPr>
      <w:r w:rsidRPr="00D97361">
        <w:t>safety data sheets (SDS) and procedures for handling and disposing of used primer, emulsions and solven</w:t>
      </w:r>
      <w:r w:rsidRPr="00D97361">
        <w:t>ts</w:t>
      </w:r>
    </w:p>
    <w:p w:rsidR="00000000" w:rsidRPr="00D97361" w:rsidP="00D97361">
      <w:pPr>
        <w:pStyle w:val="ListBullet2"/>
      </w:pPr>
      <w:r w:rsidRPr="00D97361">
        <w:t>procedures for extraction of fumes</w:t>
      </w:r>
    </w:p>
    <w:p w:rsidR="00000000" w:rsidRPr="00D97361" w:rsidP="00D97361">
      <w:pPr>
        <w:pStyle w:val="ListBullet"/>
      </w:pPr>
      <w:r w:rsidRPr="00D97361">
        <w:t>types, grades and uses of abrasives and sandpaper</w:t>
      </w:r>
    </w:p>
    <w:p w:rsidR="00000000" w:rsidRPr="00D97361" w:rsidP="00D97361">
      <w:pPr>
        <w:pStyle w:val="ListBullet"/>
      </w:pPr>
      <w:r w:rsidRPr="00D97361">
        <w:t>workplace procedures for:</w:t>
      </w:r>
    </w:p>
    <w:p w:rsidR="00000000" w:rsidRPr="00D97361" w:rsidP="00D97361">
      <w:pPr>
        <w:pStyle w:val="ListBullet2"/>
      </w:pPr>
      <w:r w:rsidRPr="00D97361">
        <w:t>wet and dry sanding</w:t>
      </w:r>
    </w:p>
    <w:p w:rsidR="00000000" w:rsidRPr="00D97361" w:rsidP="00D97361">
      <w:pPr>
        <w:pStyle w:val="ListBullet2"/>
      </w:pPr>
      <w:r w:rsidRPr="00D97361">
        <w:t>surface preparation</w:t>
      </w:r>
    </w:p>
    <w:p w:rsidR="00000000" w:rsidRPr="00D97361" w:rsidP="00D97361">
      <w:pPr>
        <w:pStyle w:val="ListBullet2"/>
      </w:pPr>
      <w:r w:rsidRPr="00D97361">
        <w:t>paint feather edging and precautions</w:t>
      </w:r>
    </w:p>
    <w:p w:rsidR="00000000" w:rsidRPr="00D97361" w:rsidP="00D97361">
      <w:pPr>
        <w:pStyle w:val="ListBullet"/>
      </w:pPr>
      <w:r w:rsidRPr="00D97361">
        <w:t>types of filler and primers and their use</w:t>
      </w:r>
    </w:p>
    <w:p w:rsidR="00000000" w:rsidRPr="00D97361" w:rsidP="00D97361">
      <w:pPr>
        <w:pStyle w:val="ListBullet"/>
      </w:pPr>
      <w:r w:rsidRPr="00D97361">
        <w:t>filler and primer application procedures</w:t>
      </w:r>
    </w:p>
    <w:p w:rsidR="00000000" w:rsidRPr="00D97361" w:rsidP="00D97361">
      <w:pPr>
        <w:pStyle w:val="ListBullet"/>
      </w:pPr>
      <w:r w:rsidRPr="00D97361">
        <w:t>work area clean-up and maintenance requirements.</w:t>
      </w:r>
    </w:p>
    <w:p w:rsidR="00000000" w:rsidRPr="00D97361" w:rsidP="00D97361">
      <w:pPr>
        <w:pStyle w:val="AllowPageBreak"/>
      </w:pPr>
    </w:p>
    <w:p w:rsidR="00000000" w:rsidRPr="00D97361" w:rsidP="00D97361">
      <w:pPr>
        <w:pStyle w:val="Heading1"/>
      </w:pPr>
      <w:bookmarkStart w:id="4" w:name="O_660536"/>
      <w:bookmarkEnd w:id="4"/>
      <w:r w:rsidRPr="00D97361">
        <w:t>Assessment Conditions</w:t>
      </w:r>
    </w:p>
    <w:p w:rsidR="00000000" w:rsidRPr="00D97361" w:rsidP="00B0094C">
      <w:pPr>
        <w:pStyle w:val="BodyText"/>
      </w:pPr>
      <w:r w:rsidRPr="00D97361">
        <w:t>Assessors must satisfy SNR/AQTF assessor requirements.</w:t>
      </w:r>
    </w:p>
    <w:p w:rsidR="00000000" w:rsidRPr="00D97361" w:rsidP="00B0094C">
      <w:pPr>
        <w:pStyle w:val="BodyText"/>
      </w:pPr>
      <w:r w:rsidRPr="00D97361">
        <w:t>Competency is to be assessed in the workplace or a simulated environmen</w:t>
      </w:r>
      <w:r w:rsidRPr="00D97361">
        <w:t>t that accurately reflects performance in a real workplace setting.</w:t>
      </w:r>
    </w:p>
    <w:p w:rsidR="00000000" w:rsidRPr="00D97361" w:rsidP="00B0094C">
      <w:pPr>
        <w:pStyle w:val="BodyText"/>
      </w:pPr>
      <w:r w:rsidRPr="00D97361">
        <w:t>Where assessment of competency includes third-party evidence, individuals must provide evidence that links them to the repaired body panels that they have surface prepared and primed, e.g</w:t>
      </w:r>
      <w:r w:rsidRPr="00D97361">
        <w:t>. repair orders.</w:t>
      </w:r>
    </w:p>
    <w:p w:rsidR="00000000" w:rsidRPr="00D97361" w:rsidP="00B0094C">
      <w:pPr>
        <w:pStyle w:val="BodyText"/>
      </w:pPr>
      <w:r w:rsidRPr="00D97361">
        <w:t>Assessors must verify performance evidence through questioning on skills and knowledge to ensure correct interpretation and application.</w:t>
      </w:r>
    </w:p>
    <w:p w:rsidR="00000000" w:rsidRPr="00D97361" w:rsidP="00B0094C">
      <w:pPr>
        <w:pStyle w:val="BodyText"/>
      </w:pPr>
      <w:r w:rsidRPr="00D97361">
        <w:t>The following resources must be made available:</w:t>
      </w:r>
    </w:p>
    <w:p w:rsidR="00000000" w:rsidRPr="00D97361" w:rsidP="00D97361">
      <w:pPr>
        <w:pStyle w:val="ListBullet"/>
      </w:pPr>
      <w:r w:rsidRPr="00D97361">
        <w:t>automotive workplace or simulated workplace</w:t>
      </w:r>
    </w:p>
    <w:p w:rsidR="00000000" w:rsidRPr="00D97361" w:rsidP="00D97361">
      <w:pPr>
        <w:pStyle w:val="ListBullet"/>
      </w:pPr>
      <w:r w:rsidRPr="00D97361">
        <w:t>persona</w:t>
      </w:r>
      <w:r w:rsidRPr="00D97361">
        <w:t xml:space="preserve">l protective equipment appropriate to the workplace </w:t>
      </w:r>
    </w:p>
    <w:p w:rsidR="00000000" w:rsidRPr="00D97361" w:rsidP="00D97361">
      <w:pPr>
        <w:pStyle w:val="ListBullet"/>
      </w:pPr>
      <w:r w:rsidRPr="00D97361">
        <w:t>two major vehicle body panels</w:t>
      </w:r>
    </w:p>
    <w:p w:rsidR="00000000" w:rsidRPr="00D97361" w:rsidP="00D97361">
      <w:pPr>
        <w:pStyle w:val="ListBullet"/>
      </w:pPr>
      <w:r w:rsidRPr="00D97361">
        <w:t>tools, equipment and materials, including:</w:t>
      </w:r>
    </w:p>
    <w:p w:rsidR="00000000" w:rsidRPr="00D97361" w:rsidP="00D97361">
      <w:pPr>
        <w:pStyle w:val="ListBullet2"/>
      </w:pPr>
      <w:r w:rsidRPr="00D97361">
        <w:t>preparation and spray areas with fume extraction</w:t>
      </w:r>
    </w:p>
    <w:p w:rsidR="00000000" w:rsidRPr="00D97361" w:rsidP="00D97361">
      <w:pPr>
        <w:pStyle w:val="ListBullet2"/>
      </w:pPr>
      <w:r w:rsidRPr="00D97361">
        <w:t>spray gun equipment</w:t>
      </w:r>
    </w:p>
    <w:p w:rsidR="00000000" w:rsidRPr="00D97361" w:rsidP="00D97361">
      <w:pPr>
        <w:pStyle w:val="ListBullet2"/>
      </w:pPr>
      <w:r w:rsidRPr="00D97361">
        <w:t>wet and dry paper</w:t>
      </w:r>
    </w:p>
    <w:p w:rsidR="00000000" w:rsidRPr="00D97361" w:rsidP="00D97361">
      <w:pPr>
        <w:pStyle w:val="ListBullet2"/>
      </w:pPr>
      <w:r w:rsidRPr="00D97361">
        <w:t>spray gun equipment</w:t>
      </w:r>
    </w:p>
    <w:p w:rsidR="00000000" w:rsidRPr="00D97361" w:rsidP="00D97361">
      <w:pPr>
        <w:pStyle w:val="ListBullet2"/>
      </w:pPr>
      <w:r w:rsidRPr="00D97361">
        <w:t>sanding discs</w:t>
      </w:r>
    </w:p>
    <w:p w:rsidR="00000000" w:rsidRPr="00D97361" w:rsidP="00D97361">
      <w:pPr>
        <w:pStyle w:val="ListBullet2"/>
      </w:pPr>
      <w:r w:rsidRPr="00D97361">
        <w:t>emulsion materials</w:t>
      </w:r>
    </w:p>
    <w:p w:rsidR="00000000" w:rsidRPr="00D97361" w:rsidP="00D97361">
      <w:pPr>
        <w:pStyle w:val="ListBullet2"/>
      </w:pPr>
      <w:r w:rsidRPr="00D97361">
        <w:t>filler</w:t>
      </w:r>
    </w:p>
    <w:p w:rsidR="00000000" w:rsidRPr="00D97361" w:rsidP="00D97361">
      <w:pPr>
        <w:pStyle w:val="ListBullet2"/>
      </w:pPr>
      <w:r w:rsidRPr="00D97361">
        <w:t xml:space="preserve">primers, including: </w:t>
      </w:r>
    </w:p>
    <w:p w:rsidR="00000000" w:rsidRPr="00D97361" w:rsidP="00D97361">
      <w:pPr>
        <w:pStyle w:val="ListBullet3"/>
      </w:pPr>
      <w:r w:rsidRPr="00D97361">
        <w:t>etch primer</w:t>
      </w:r>
    </w:p>
    <w:p w:rsidR="00000000" w:rsidRPr="00D97361" w:rsidP="00D97361">
      <w:pPr>
        <w:pStyle w:val="ListBullet3"/>
      </w:pPr>
      <w:r w:rsidRPr="00D97361">
        <w:t>primer surfacer</w:t>
      </w:r>
    </w:p>
    <w:p w:rsidR="00000000" w:rsidRPr="00D97361" w:rsidP="00D97361">
      <w:pPr>
        <w:pStyle w:val="ListBullet2"/>
      </w:pPr>
      <w:r w:rsidRPr="00D97361">
        <w:t>solvents.</w:t>
      </w:r>
    </w:p>
    <w:p w:rsidR="00000000" w:rsidRPr="00D97361" w:rsidP="00D97361">
      <w:pPr>
        <w:pStyle w:val="AllowPageBreak"/>
      </w:pPr>
    </w:p>
    <w:p w:rsidR="00000000" w:rsidRPr="00D97361" w:rsidP="00D97361">
      <w:pPr>
        <w:pStyle w:val="Heading1"/>
      </w:pPr>
      <w:bookmarkStart w:id="5" w:name="O_660534"/>
      <w:bookmarkEnd w:id="5"/>
      <w:r w:rsidRPr="00D97361">
        <w:t>Links</w:t>
      </w:r>
    </w:p>
    <w:p w:rsidR="00000000" w:rsidRPr="00D97361" w:rsidP="00B0094C">
      <w:pPr>
        <w:pStyle w:val="BodyText"/>
      </w:pPr>
      <w:r w:rsidRPr="00D973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463E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97361" w:rsidP="00B0094C">
      <w:pPr>
        <w:pStyle w:val="BodyText"/>
      </w:pPr>
      <w:r w:rsidRPr="00D973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463E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97361" w:rsidP="00D97361"/>
    <w:sectPr w:rsidSect="00D973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61" w:rsidRPr="00B0094C" w:rsidP="00B00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4C" w:rsidP="00D97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94C" w:rsidP="00D97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094C" w:rsidP="00D97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361" w:rsidRPr="00B0094C" w:rsidP="00B00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94C" w:rsidRPr="002D2AF8" w:rsidP="00D97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AURVTP029 Prepare surface and prime repaired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0094C" w:rsidP="00D97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0E4B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62D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CE3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361"/>
  </w:style>
  <w:style w:type="character" w:customStyle="1" w:styleId="Heading1Char">
    <w:name w:val="Heading 1 Char"/>
    <w:basedOn w:val="DefaultParagraphFont"/>
    <w:link w:val="Heading1"/>
    <w:rsid w:val="00D97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736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361"/>
    <w:rPr>
      <w:b/>
      <w:spacing w:val="0"/>
    </w:rPr>
  </w:style>
  <w:style w:type="paragraph" w:styleId="ListBullet2">
    <w:name w:val="List Bullet 2"/>
    <w:basedOn w:val="List2"/>
    <w:rsid w:val="00D9736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7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73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7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7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7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361"/>
    <w:rPr>
      <w:i/>
    </w:rPr>
  </w:style>
  <w:style w:type="paragraph" w:styleId="Caption">
    <w:name w:val="caption"/>
    <w:basedOn w:val="BodyText"/>
    <w:next w:val="Normal"/>
    <w:qFormat/>
    <w:rsid w:val="00D97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361"/>
  </w:style>
  <w:style w:type="paragraph" w:styleId="TableofFigures">
    <w:name w:val="table of figures"/>
    <w:basedOn w:val="Normal"/>
    <w:next w:val="Normal"/>
    <w:semiHidden/>
    <w:rsid w:val="00D97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361"/>
    <w:pPr>
      <w:numPr>
        <w:numId w:val="12"/>
      </w:numPr>
    </w:pPr>
  </w:style>
  <w:style w:type="character" w:customStyle="1" w:styleId="WingdingSymbols">
    <w:name w:val="Wingding Symbols"/>
    <w:rsid w:val="00D97361"/>
    <w:rPr>
      <w:rFonts w:ascii="Wingdings" w:hAnsi="Wingdings"/>
    </w:rPr>
  </w:style>
  <w:style w:type="paragraph" w:customStyle="1" w:styleId="TableHeading">
    <w:name w:val="Table Heading"/>
    <w:basedOn w:val="HeadingBase"/>
    <w:rsid w:val="00D97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361"/>
    <w:rPr>
      <w:color w:val="0033CC"/>
      <w:u w:val="none"/>
    </w:rPr>
  </w:style>
  <w:style w:type="paragraph" w:customStyle="1" w:styleId="BodyTextRight">
    <w:name w:val="Body Text Right"/>
    <w:basedOn w:val="BodyText"/>
    <w:rsid w:val="00D97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3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361"/>
    <w:rPr>
      <w:sz w:val="32"/>
    </w:rPr>
  </w:style>
  <w:style w:type="paragraph" w:customStyle="1" w:styleId="HeadingProcedure">
    <w:name w:val="Heading Procedure"/>
    <w:basedOn w:val="HeadingBase"/>
    <w:next w:val="Normal"/>
    <w:rsid w:val="00D97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361"/>
    <w:pPr>
      <w:spacing w:before="60" w:after="60"/>
    </w:pPr>
  </w:style>
  <w:style w:type="paragraph" w:styleId="ListContinue">
    <w:name w:val="List Continue"/>
    <w:basedOn w:val="List"/>
    <w:rsid w:val="00D97361"/>
    <w:pPr>
      <w:ind w:firstLine="0"/>
    </w:pPr>
  </w:style>
  <w:style w:type="paragraph" w:customStyle="1" w:styleId="ListNote">
    <w:name w:val="List Note"/>
    <w:basedOn w:val="List"/>
    <w:rsid w:val="00D97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361"/>
    <w:rPr>
      <w:rFonts w:ascii="Courier New" w:hAnsi="Courier New"/>
    </w:rPr>
  </w:style>
  <w:style w:type="paragraph" w:customStyle="1" w:styleId="NoteBullet">
    <w:name w:val="Note Bullet"/>
    <w:basedOn w:val="Note"/>
    <w:rsid w:val="00D97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36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97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361"/>
    <w:rPr>
      <w:b/>
      <w:smallCaps/>
    </w:rPr>
  </w:style>
  <w:style w:type="paragraph" w:customStyle="1" w:styleId="TableListNumber">
    <w:name w:val="Table List Number"/>
    <w:basedOn w:val="ListNumber"/>
    <w:rsid w:val="00D97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361"/>
    <w:pPr>
      <w:numPr>
        <w:numId w:val="10"/>
      </w:numPr>
    </w:pPr>
  </w:style>
  <w:style w:type="paragraph" w:customStyle="1" w:styleId="ListAlpha2">
    <w:name w:val="List Alpha 2"/>
    <w:basedOn w:val="List2"/>
    <w:rsid w:val="00D97361"/>
    <w:pPr>
      <w:numPr>
        <w:numId w:val="9"/>
      </w:numPr>
    </w:pPr>
  </w:style>
  <w:style w:type="paragraph" w:styleId="List2">
    <w:name w:val="List 2"/>
    <w:basedOn w:val="BodyText"/>
    <w:rsid w:val="00D97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3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73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7361"/>
    <w:pPr>
      <w:numPr>
        <w:numId w:val="5"/>
      </w:numPr>
    </w:pPr>
  </w:style>
  <w:style w:type="paragraph" w:styleId="ListContinue2">
    <w:name w:val="List Continue 2"/>
    <w:basedOn w:val="List2"/>
    <w:rsid w:val="00D97361"/>
    <w:pPr>
      <w:ind w:firstLine="0"/>
    </w:pPr>
  </w:style>
  <w:style w:type="paragraph" w:styleId="ListContinue3">
    <w:name w:val="List Continue 3"/>
    <w:basedOn w:val="List3"/>
    <w:rsid w:val="00D97361"/>
    <w:pPr>
      <w:ind w:left="1021" w:firstLine="0"/>
    </w:pPr>
  </w:style>
  <w:style w:type="paragraph" w:styleId="ListContinue4">
    <w:name w:val="List Continue 4"/>
    <w:basedOn w:val="List4"/>
    <w:rsid w:val="00D97361"/>
    <w:pPr>
      <w:ind w:firstLine="0"/>
    </w:pPr>
  </w:style>
  <w:style w:type="paragraph" w:styleId="ListContinue5">
    <w:name w:val="List Continue 5"/>
    <w:basedOn w:val="List5"/>
    <w:rsid w:val="00D97361"/>
    <w:pPr>
      <w:ind w:firstLine="0"/>
    </w:pPr>
  </w:style>
  <w:style w:type="paragraph" w:styleId="ListNumber3">
    <w:name w:val="List Number 3"/>
    <w:basedOn w:val="List3"/>
    <w:rsid w:val="00D97361"/>
    <w:pPr>
      <w:numPr>
        <w:numId w:val="6"/>
      </w:numPr>
    </w:pPr>
  </w:style>
  <w:style w:type="paragraph" w:styleId="ListNumber4">
    <w:name w:val="List Number 4"/>
    <w:basedOn w:val="List4"/>
    <w:rsid w:val="00D97361"/>
    <w:pPr>
      <w:numPr>
        <w:numId w:val="7"/>
      </w:numPr>
    </w:pPr>
  </w:style>
  <w:style w:type="paragraph" w:styleId="ListNumber5">
    <w:name w:val="List Number 5"/>
    <w:basedOn w:val="List5"/>
    <w:rsid w:val="00D97361"/>
    <w:pPr>
      <w:numPr>
        <w:numId w:val="8"/>
      </w:numPr>
    </w:pPr>
  </w:style>
  <w:style w:type="paragraph" w:styleId="BlockText">
    <w:name w:val="Block Text"/>
    <w:basedOn w:val="Normal"/>
    <w:rsid w:val="00D97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361"/>
    <w:rPr>
      <w:sz w:val="16"/>
      <w:vertAlign w:val="superscript"/>
    </w:rPr>
  </w:style>
  <w:style w:type="character" w:customStyle="1" w:styleId="Symbols">
    <w:name w:val="Symbols"/>
    <w:basedOn w:val="DefaultParagraphFont"/>
    <w:rsid w:val="00D97361"/>
    <w:rPr>
      <w:rFonts w:ascii="Symbol" w:hAnsi="Symbol"/>
    </w:rPr>
  </w:style>
  <w:style w:type="character" w:customStyle="1" w:styleId="MenuOptions">
    <w:name w:val="Menu Options"/>
    <w:basedOn w:val="DefaultParagraphFont"/>
    <w:rsid w:val="00D97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361"/>
    <w:rPr>
      <w:b/>
    </w:rPr>
  </w:style>
  <w:style w:type="character" w:customStyle="1" w:styleId="Underlined">
    <w:name w:val="Underlined"/>
    <w:basedOn w:val="DefaultParagraphFont"/>
    <w:rsid w:val="00D97361"/>
    <w:rPr>
      <w:u w:val="single"/>
    </w:rPr>
  </w:style>
  <w:style w:type="paragraph" w:customStyle="1" w:styleId="TableBodyTextRight">
    <w:name w:val="Table Body Text Right"/>
    <w:basedOn w:val="TableBodyText"/>
    <w:rsid w:val="00D97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361"/>
    <w:rPr>
      <w:sz w:val="18"/>
    </w:rPr>
  </w:style>
  <w:style w:type="paragraph" w:customStyle="1" w:styleId="BodySmallRight">
    <w:name w:val="Body Small Right"/>
    <w:basedOn w:val="BodyTextRight"/>
    <w:rsid w:val="00D97361"/>
    <w:rPr>
      <w:sz w:val="18"/>
      <w:szCs w:val="18"/>
    </w:rPr>
  </w:style>
  <w:style w:type="paragraph" w:customStyle="1" w:styleId="MarginEdition">
    <w:name w:val="Margin Edition"/>
    <w:basedOn w:val="MarginNote"/>
    <w:rsid w:val="00D97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361"/>
    <w:rPr>
      <w:sz w:val="2"/>
      <w:szCs w:val="2"/>
    </w:rPr>
  </w:style>
  <w:style w:type="character" w:customStyle="1" w:styleId="Small">
    <w:name w:val="Small"/>
    <w:basedOn w:val="DefaultParagraphFont"/>
    <w:rsid w:val="00D97361"/>
    <w:rPr>
      <w:sz w:val="16"/>
    </w:rPr>
  </w:style>
  <w:style w:type="paragraph" w:customStyle="1" w:styleId="WideTable">
    <w:name w:val="Wide Table"/>
    <w:basedOn w:val="Normal"/>
    <w:rsid w:val="00D97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361"/>
  </w:style>
  <w:style w:type="paragraph" w:styleId="Quote">
    <w:name w:val="Quote"/>
    <w:basedOn w:val="Heading1"/>
    <w:link w:val="QuoteChar"/>
    <w:qFormat/>
    <w:rsid w:val="00D97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361"/>
    <w:pPr>
      <w:pageBreakBefore/>
    </w:pPr>
  </w:style>
  <w:style w:type="paragraph" w:customStyle="1" w:styleId="Border">
    <w:name w:val="Border"/>
    <w:basedOn w:val="Normal"/>
    <w:qFormat/>
    <w:rsid w:val="00D97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361"/>
    <w:rPr>
      <w:u w:val="single"/>
    </w:rPr>
  </w:style>
  <w:style w:type="character" w:customStyle="1" w:styleId="BoldandItalics">
    <w:name w:val="Bold and Italics"/>
    <w:qFormat/>
    <w:rsid w:val="00D97361"/>
    <w:rPr>
      <w:b/>
      <w:i/>
      <w:u w:val="none"/>
    </w:rPr>
  </w:style>
  <w:style w:type="paragraph" w:styleId="BalloonText">
    <w:name w:val="Balloon Text"/>
    <w:basedOn w:val="Normal"/>
    <w:link w:val="BalloonTextChar"/>
    <w:rsid w:val="00D97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3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0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2558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AURVTP029 Prepare surface and prime repaired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2018-12-07T02:13:00Z</dcterms:created>
  <dcterms:modified xsi:type="dcterms:W3CDTF">2018-12-07T02:13:00Z</dcterms:modified>
</cp:coreProperties>
</file>