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830" w:rsidP="00F068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AURVTP017 Rectify and touch up vehicle paint faults using clear over base two-pack systems</w:t>
      </w:r>
      <w:r>
        <w:fldChar w:fldCharType="end"/>
      </w:r>
    </w:p>
    <w:p w:rsidR="00F06830" w:rsidP="00F06830">
      <w:pPr>
        <w:pStyle w:val="Version"/>
        <w:sectPr w:rsidSect="00D43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20C" w:rsidP="00D4320C">
      <w:pPr>
        <w:pStyle w:val="SuperHeading"/>
      </w:pPr>
      <w:r w:rsidRPr="00D4320C">
        <w:t>Assessment Requirements for AURVTP017 Rectify and touch up vehicle paint faults using clear over base two-pack systems</w:t>
      </w:r>
    </w:p>
    <w:p w:rsidR="00000000" w:rsidRPr="00D4320C" w:rsidP="00D4320C">
      <w:pPr>
        <w:pStyle w:val="Heading1"/>
      </w:pPr>
      <w:bookmarkStart w:id="1" w:name="O_804429"/>
      <w:bookmarkEnd w:id="1"/>
      <w:r w:rsidRPr="00D4320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068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0C" w:rsidP="00D4320C">
            <w:pPr>
              <w:pStyle w:val="BodyText"/>
            </w:pPr>
            <w:r w:rsidRPr="00D4320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0C">
            <w:pPr>
              <w:pStyle w:val="BodyText"/>
              <w:rPr>
                <w:lang w:val="en-NZ"/>
              </w:rPr>
            </w:pPr>
            <w:r w:rsidRPr="00D4320C">
              <w:rPr>
                <w:rStyle w:val="SpecialBold"/>
              </w:rPr>
              <w:t>Comment</w:t>
            </w:r>
          </w:p>
        </w:tc>
      </w:tr>
      <w:tr w:rsidTr="00F068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0C">
            <w:pPr>
              <w:pStyle w:val="BodyText"/>
              <w:rPr>
                <w:lang w:val="en-NZ"/>
              </w:rPr>
            </w:pPr>
            <w:r w:rsidRPr="00D4320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0C" w:rsidP="00D4320C">
            <w:pPr>
              <w:pStyle w:val="BodyText"/>
            </w:pPr>
            <w:r w:rsidRPr="00D4320C">
              <w:t>New unit of competency.</w:t>
            </w:r>
          </w:p>
        </w:tc>
      </w:tr>
    </w:tbl>
    <w:p w:rsidR="00000000" w:rsidRPr="00D4320C" w:rsidP="00D4320C">
      <w:pPr>
        <w:pStyle w:val="BodyText"/>
      </w:pPr>
    </w:p>
    <w:p w:rsidR="00000000" w:rsidRPr="00D4320C" w:rsidP="00D4320C">
      <w:pPr>
        <w:pStyle w:val="AllowPageBreak"/>
      </w:pPr>
    </w:p>
    <w:p w:rsidR="00000000" w:rsidRPr="00D4320C" w:rsidP="00D4320C">
      <w:pPr>
        <w:pStyle w:val="Heading1"/>
      </w:pPr>
      <w:bookmarkStart w:id="2" w:name="O_804430"/>
      <w:bookmarkEnd w:id="2"/>
      <w:r w:rsidRPr="00D4320C">
        <w:t>Performance Evidence</w:t>
      </w:r>
    </w:p>
    <w:p w:rsidR="00000000" w:rsidRPr="00D4320C" w:rsidP="00F06830">
      <w:pPr>
        <w:pStyle w:val="BodyText"/>
      </w:pPr>
      <w:r w:rsidRPr="00D4320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D4320C" w:rsidP="00D4320C">
      <w:pPr>
        <w:pStyle w:val="ListBullet"/>
      </w:pPr>
      <w:r w:rsidRPr="00D4320C">
        <w:t>rectify and touch up faults on thr</w:t>
      </w:r>
      <w:r w:rsidRPr="00D4320C">
        <w:t>ee different vehicles using clear over base (COB) two-pack paint materials, including:</w:t>
      </w:r>
    </w:p>
    <w:p w:rsidR="00000000" w:rsidRPr="00D4320C" w:rsidP="00D4320C">
      <w:pPr>
        <w:pStyle w:val="ListBullet2"/>
      </w:pPr>
      <w:r w:rsidRPr="00D4320C">
        <w:t>using partial blend and fade-out blend on one vehicle</w:t>
      </w:r>
    </w:p>
    <w:p w:rsidR="00000000" w:rsidRPr="00D4320C" w:rsidP="00D4320C">
      <w:pPr>
        <w:pStyle w:val="ListBullet2"/>
      </w:pPr>
      <w:r w:rsidRPr="00D4320C">
        <w:t>blending and clearing panels on one vehicle.</w:t>
      </w:r>
    </w:p>
    <w:p w:rsidR="00000000" w:rsidRPr="00D4320C" w:rsidP="00D4320C">
      <w:pPr>
        <w:pStyle w:val="AllowPageBreak"/>
      </w:pPr>
    </w:p>
    <w:p w:rsidR="00000000" w:rsidRPr="00D4320C" w:rsidP="00D4320C">
      <w:pPr>
        <w:pStyle w:val="Heading1"/>
      </w:pPr>
      <w:bookmarkStart w:id="3" w:name="O_804431"/>
      <w:bookmarkEnd w:id="3"/>
      <w:r w:rsidRPr="00D4320C">
        <w:t>Knowledge Evidence</w:t>
      </w:r>
    </w:p>
    <w:p w:rsidR="00000000" w:rsidRPr="00D4320C" w:rsidP="00F06830">
      <w:pPr>
        <w:pStyle w:val="BodyText"/>
      </w:pPr>
      <w:r w:rsidRPr="00D4320C">
        <w:t>Individuals must be able to demonstrate knowledge of:</w:t>
      </w:r>
    </w:p>
    <w:p w:rsidR="00000000" w:rsidRPr="00D4320C" w:rsidP="00D4320C">
      <w:pPr>
        <w:pStyle w:val="ListBullet"/>
      </w:pPr>
      <w:r w:rsidRPr="00D4320C">
        <w:t>work health and safety (WHS) and occupational health and safety (OHS) requirements relating to rectifying and touching up vehicle paint faults using clear over base two-pack systems, including procedur</w:t>
      </w:r>
      <w:r w:rsidRPr="00D4320C">
        <w:t>es for:</w:t>
      </w:r>
    </w:p>
    <w:p w:rsidR="00000000" w:rsidRPr="00D4320C" w:rsidP="00D4320C">
      <w:pPr>
        <w:pStyle w:val="ListBullet2"/>
      </w:pPr>
      <w:r w:rsidRPr="00D4320C">
        <w:t>selecting and using personal protective equipment (PPE)</w:t>
      </w:r>
    </w:p>
    <w:p w:rsidR="00000000" w:rsidRPr="00D4320C" w:rsidP="00D4320C">
      <w:pPr>
        <w:pStyle w:val="ListBullet2"/>
      </w:pPr>
      <w:r w:rsidRPr="00D4320C">
        <w:t>using technical data sheets (TDS) and safety data sheets (SDS) for COB two-pack paint</w:t>
      </w:r>
    </w:p>
    <w:p w:rsidR="00000000" w:rsidRPr="00D4320C" w:rsidP="00D4320C">
      <w:pPr>
        <w:pStyle w:val="ListBullet2"/>
      </w:pPr>
      <w:r w:rsidRPr="00D4320C">
        <w:t>handling and storing paint materials</w:t>
      </w:r>
    </w:p>
    <w:p w:rsidR="00000000" w:rsidRPr="00D4320C" w:rsidP="00D4320C">
      <w:pPr>
        <w:pStyle w:val="ListBullet2"/>
      </w:pPr>
      <w:r w:rsidRPr="00D4320C">
        <w:t>using tools and equipment</w:t>
      </w:r>
    </w:p>
    <w:p w:rsidR="00000000" w:rsidRPr="00D4320C" w:rsidP="00D4320C">
      <w:pPr>
        <w:pStyle w:val="ListBullet"/>
      </w:pPr>
      <w:r w:rsidRPr="00D4320C">
        <w:t>environmental requirements, including pro</w:t>
      </w:r>
      <w:r w:rsidRPr="00D4320C">
        <w:t>cedures for trapping, storing and disposing of waste materials</w:t>
      </w:r>
    </w:p>
    <w:p w:rsidR="00000000" w:rsidRPr="00D4320C" w:rsidP="00D4320C">
      <w:pPr>
        <w:pStyle w:val="ListBullet"/>
      </w:pPr>
      <w:r w:rsidRPr="00D4320C">
        <w:t>paint manufacturer specifications and paint codes</w:t>
      </w:r>
    </w:p>
    <w:p w:rsidR="00000000" w:rsidRPr="00D4320C" w:rsidP="00D4320C">
      <w:pPr>
        <w:pStyle w:val="ListBullet"/>
      </w:pPr>
      <w:r w:rsidRPr="00D4320C">
        <w:t>types and features of two-pack paint materials</w:t>
      </w:r>
    </w:p>
    <w:p w:rsidR="00000000" w:rsidRPr="00D4320C" w:rsidP="00D4320C">
      <w:pPr>
        <w:pStyle w:val="ListBullet"/>
      </w:pPr>
      <w:r w:rsidRPr="00D4320C">
        <w:t>types and use of painting equipment, including:</w:t>
      </w:r>
    </w:p>
    <w:p w:rsidR="00000000" w:rsidRPr="00D4320C" w:rsidP="00D4320C">
      <w:pPr>
        <w:pStyle w:val="ListBullet2"/>
      </w:pPr>
      <w:r w:rsidRPr="00D4320C">
        <w:t>types of spray guns and maintenance requirements</w:t>
      </w:r>
    </w:p>
    <w:p w:rsidR="00000000" w:rsidRPr="00D4320C" w:rsidP="00D4320C">
      <w:pPr>
        <w:pStyle w:val="ListBullet2"/>
      </w:pPr>
      <w:r w:rsidRPr="00D4320C">
        <w:t>spray gun set-up, use and maintenance</w:t>
      </w:r>
    </w:p>
    <w:p w:rsidR="00000000" w:rsidRPr="00D4320C" w:rsidP="00D4320C">
      <w:pPr>
        <w:pStyle w:val="ListBullet2"/>
      </w:pPr>
      <w:r w:rsidRPr="00D4320C">
        <w:t>correct use of positive air feed masks</w:t>
      </w:r>
    </w:p>
    <w:p w:rsidR="00000000" w:rsidRPr="00D4320C" w:rsidP="00D4320C">
      <w:pPr>
        <w:pStyle w:val="ListBullet2"/>
      </w:pPr>
      <w:r w:rsidRPr="00D4320C">
        <w:t>using approved drying area</w:t>
      </w:r>
    </w:p>
    <w:p w:rsidR="00000000" w:rsidRPr="00D4320C" w:rsidP="00D4320C">
      <w:pPr>
        <w:pStyle w:val="ListBullet"/>
      </w:pPr>
      <w:r w:rsidRPr="00D4320C">
        <w:t>paint rectification and touch-up techniques and procedures, including:</w:t>
      </w:r>
    </w:p>
    <w:p w:rsidR="00000000" w:rsidRPr="00D4320C" w:rsidP="00D4320C">
      <w:pPr>
        <w:pStyle w:val="ListBullet2"/>
      </w:pPr>
      <w:r w:rsidRPr="00D4320C">
        <w:t>identifying paint surface faul</w:t>
      </w:r>
      <w:r w:rsidRPr="00D4320C">
        <w:t>ts</w:t>
      </w:r>
    </w:p>
    <w:p w:rsidR="00000000" w:rsidRPr="00D4320C" w:rsidP="00D4320C">
      <w:pPr>
        <w:pStyle w:val="ListBullet2"/>
      </w:pPr>
      <w:r w:rsidRPr="00D4320C">
        <w:t>surface preparation methods</w:t>
      </w:r>
    </w:p>
    <w:p w:rsidR="00000000" w:rsidRPr="00D4320C" w:rsidP="00D4320C">
      <w:pPr>
        <w:pStyle w:val="ListBullet2"/>
      </w:pPr>
      <w:r w:rsidRPr="00D4320C">
        <w:t>paint mixing procedures</w:t>
      </w:r>
    </w:p>
    <w:p w:rsidR="00000000" w:rsidRPr="00D4320C" w:rsidP="00D4320C">
      <w:pPr>
        <w:pStyle w:val="ListBullet2"/>
      </w:pPr>
      <w:r w:rsidRPr="00D4320C">
        <w:t>COB two-pack paint application methods</w:t>
      </w:r>
    </w:p>
    <w:p w:rsidR="00000000" w:rsidRPr="00D4320C" w:rsidP="00D4320C">
      <w:pPr>
        <w:pStyle w:val="ListBullet2"/>
      </w:pPr>
      <w:r w:rsidRPr="00D4320C">
        <w:t>paint drying methods</w:t>
      </w:r>
    </w:p>
    <w:p w:rsidR="00000000" w:rsidRPr="00D4320C" w:rsidP="00D4320C">
      <w:pPr>
        <w:pStyle w:val="ListBullet"/>
      </w:pPr>
      <w:r w:rsidRPr="00D4320C">
        <w:t xml:space="preserve">procedures for protecting vehicle and components when rectifying and touching up paint </w:t>
      </w:r>
    </w:p>
    <w:p w:rsidR="00000000" w:rsidRPr="00D4320C" w:rsidP="00D4320C">
      <w:pPr>
        <w:pStyle w:val="ListBullet"/>
      </w:pPr>
      <w:r w:rsidRPr="00D4320C">
        <w:t>procedures for final inspection of paint rectificati</w:t>
      </w:r>
      <w:r w:rsidRPr="00D4320C">
        <w:t>on and touch-up work using COB two-pack systems.</w:t>
      </w:r>
    </w:p>
    <w:p w:rsidR="00000000" w:rsidRPr="00D4320C" w:rsidP="00D4320C">
      <w:pPr>
        <w:pStyle w:val="AllowPageBreak"/>
      </w:pPr>
    </w:p>
    <w:p w:rsidR="00000000" w:rsidRPr="00D4320C" w:rsidP="00D4320C">
      <w:pPr>
        <w:pStyle w:val="Heading1"/>
      </w:pPr>
      <w:bookmarkStart w:id="4" w:name="O_804432"/>
      <w:bookmarkEnd w:id="4"/>
      <w:r w:rsidRPr="00D4320C">
        <w:t>Assessment Conditions</w:t>
      </w:r>
    </w:p>
    <w:p w:rsidR="00000000" w:rsidRPr="00D4320C" w:rsidP="00F06830">
      <w:pPr>
        <w:pStyle w:val="BodyText"/>
      </w:pPr>
      <w:r w:rsidRPr="00D4320C">
        <w:t>Assessors must satisfy NVR/AQTF assessor requirements.</w:t>
      </w:r>
    </w:p>
    <w:p w:rsidR="00000000" w:rsidRPr="00D4320C" w:rsidP="00F06830">
      <w:pPr>
        <w:pStyle w:val="BodyText"/>
      </w:pPr>
      <w:r w:rsidRPr="00D4320C">
        <w:t>Competency is to be assessed in the workplace or a simulated environment that accurately reflects performance in a real workplace setting.</w:t>
      </w:r>
    </w:p>
    <w:p w:rsidR="00000000" w:rsidRPr="00D4320C" w:rsidP="00F06830">
      <w:pPr>
        <w:pStyle w:val="BodyText"/>
      </w:pPr>
      <w:r w:rsidRPr="00D4320C">
        <w:t>Assessment must include direct observation of task.</w:t>
      </w:r>
    </w:p>
    <w:p w:rsidR="00000000" w:rsidRPr="00D4320C" w:rsidP="00F06830">
      <w:pPr>
        <w:pStyle w:val="BodyText"/>
      </w:pPr>
      <w:r w:rsidRPr="00D4320C">
        <w:t>Where assessment of competency includes third-party evidence, i</w:t>
      </w:r>
      <w:r w:rsidRPr="00D4320C">
        <w:t>ndividuals must provide evidence that links them to vehicle paintwork they have rectified using COB two-pack systems, e.g. repair orders.</w:t>
      </w:r>
    </w:p>
    <w:p w:rsidR="00000000" w:rsidRPr="00D4320C" w:rsidP="00F06830">
      <w:pPr>
        <w:pStyle w:val="BodyText"/>
      </w:pPr>
      <w:r w:rsidRPr="00D4320C">
        <w:t>Assessors must verify performance evidence through questioning on skills and knowledge to ensure correct interpretati</w:t>
      </w:r>
      <w:r w:rsidRPr="00D4320C">
        <w:t>on and application.</w:t>
      </w:r>
    </w:p>
    <w:p w:rsidR="00000000" w:rsidRPr="00D4320C" w:rsidP="00F06830">
      <w:pPr>
        <w:pStyle w:val="BodyText"/>
      </w:pPr>
      <w:r w:rsidRPr="00D4320C">
        <w:t>The following resources must be made available:</w:t>
      </w:r>
    </w:p>
    <w:p w:rsidR="00000000" w:rsidRPr="00D4320C" w:rsidP="00D4320C">
      <w:pPr>
        <w:pStyle w:val="ListBullet"/>
      </w:pPr>
      <w:r w:rsidRPr="00D4320C">
        <w:t>automotive repair workplace or simulated workplace</w:t>
      </w:r>
    </w:p>
    <w:p w:rsidR="00000000" w:rsidRPr="00D4320C" w:rsidP="00D4320C">
      <w:pPr>
        <w:pStyle w:val="ListBullet"/>
      </w:pPr>
      <w:r w:rsidRPr="00D4320C">
        <w:t>workplace instructions</w:t>
      </w:r>
    </w:p>
    <w:p w:rsidR="00000000" w:rsidRPr="00D4320C" w:rsidP="00D4320C">
      <w:pPr>
        <w:pStyle w:val="ListBullet"/>
      </w:pPr>
      <w:r w:rsidRPr="00D4320C">
        <w:t>TDS and SDS for COB two-pack paint</w:t>
      </w:r>
    </w:p>
    <w:p w:rsidR="00000000" w:rsidRPr="00D4320C" w:rsidP="00D4320C">
      <w:pPr>
        <w:pStyle w:val="ListBullet"/>
      </w:pPr>
      <w:r w:rsidRPr="00D4320C">
        <w:t>vehicle paint codes and specifications</w:t>
      </w:r>
    </w:p>
    <w:p w:rsidR="00000000" w:rsidRPr="00D4320C" w:rsidP="00D4320C">
      <w:pPr>
        <w:pStyle w:val="ListBullet"/>
      </w:pPr>
      <w:r w:rsidRPr="00D4320C">
        <w:t>PPE required to rectify COB two-pack p</w:t>
      </w:r>
      <w:r w:rsidRPr="00D4320C">
        <w:t>aint</w:t>
      </w:r>
    </w:p>
    <w:p w:rsidR="00000000" w:rsidRPr="00D4320C" w:rsidP="00D4320C">
      <w:pPr>
        <w:pStyle w:val="ListBullet"/>
      </w:pPr>
      <w:r w:rsidRPr="00D4320C">
        <w:t>materials required to rectify and touch up COB two-pack paint</w:t>
      </w:r>
    </w:p>
    <w:p w:rsidR="00000000" w:rsidRPr="00D4320C" w:rsidP="00D4320C">
      <w:pPr>
        <w:pStyle w:val="ListBullet"/>
      </w:pPr>
      <w:r w:rsidRPr="00D4320C">
        <w:t xml:space="preserve">three different vehicles requiring COB two-pack paint rectification and touch-up </w:t>
      </w:r>
    </w:p>
    <w:p w:rsidR="00000000" w:rsidRPr="00D4320C" w:rsidP="00D4320C">
      <w:pPr>
        <w:pStyle w:val="ListBullet"/>
      </w:pPr>
      <w:r w:rsidRPr="00D4320C">
        <w:t>tools, equipment and materials appropriate for rectifying and touching up paint faults using COB two-pack s</w:t>
      </w:r>
      <w:r w:rsidRPr="00D4320C">
        <w:t>ystems.</w:t>
      </w:r>
    </w:p>
    <w:p w:rsidR="00000000" w:rsidRPr="00D4320C" w:rsidP="00D4320C">
      <w:pPr>
        <w:pStyle w:val="AllowPageBreak"/>
      </w:pPr>
    </w:p>
    <w:p w:rsidR="00000000" w:rsidRPr="00D4320C" w:rsidP="00D4320C">
      <w:pPr>
        <w:pStyle w:val="Heading1"/>
      </w:pPr>
      <w:bookmarkStart w:id="5" w:name="O_804435"/>
      <w:bookmarkEnd w:id="5"/>
      <w:r w:rsidRPr="00D4320C">
        <w:t>Links</w:t>
      </w:r>
    </w:p>
    <w:p w:rsidR="00000000" w:rsidRPr="00D4320C" w:rsidP="00F06830">
      <w:pPr>
        <w:pStyle w:val="BodyText"/>
      </w:pPr>
      <w:r w:rsidRPr="00D432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A43B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4320C" w:rsidP="00F06830">
      <w:pPr>
        <w:pStyle w:val="BodyText"/>
      </w:pPr>
      <w:r w:rsidRPr="00D432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A43B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4320C" w:rsidP="00D4320C"/>
    <w:sectPr w:rsidSect="00D432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0C" w:rsidRPr="00F06830" w:rsidP="00F068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30" w:rsidP="00D43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830" w:rsidP="00D43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6830" w:rsidP="00D43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20C" w:rsidRPr="00F06830" w:rsidP="00F068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30" w:rsidRPr="002D2AF8" w:rsidP="00D43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AURVTP017 Rectify and touch up vehicle paint faults using clear over base two-pack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F06830" w:rsidP="00D43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22BD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6AA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F4A9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20C"/>
  </w:style>
  <w:style w:type="character" w:customStyle="1" w:styleId="Heading1Char">
    <w:name w:val="Heading 1 Char"/>
    <w:basedOn w:val="DefaultParagraphFont"/>
    <w:link w:val="Heading1"/>
    <w:rsid w:val="00D43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2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2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20C"/>
    <w:rPr>
      <w:b/>
      <w:spacing w:val="0"/>
    </w:rPr>
  </w:style>
  <w:style w:type="paragraph" w:styleId="ListBullet2">
    <w:name w:val="List Bullet 2"/>
    <w:basedOn w:val="List2"/>
    <w:rsid w:val="00D432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3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2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3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2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20C"/>
    <w:rPr>
      <w:i/>
    </w:rPr>
  </w:style>
  <w:style w:type="paragraph" w:styleId="Caption">
    <w:name w:val="caption"/>
    <w:basedOn w:val="BodyText"/>
    <w:next w:val="Normal"/>
    <w:qFormat/>
    <w:rsid w:val="00D43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20C"/>
  </w:style>
  <w:style w:type="paragraph" w:styleId="TableofFigures">
    <w:name w:val="table of figures"/>
    <w:basedOn w:val="Normal"/>
    <w:next w:val="Normal"/>
    <w:semiHidden/>
    <w:rsid w:val="00D43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20C"/>
    <w:pPr>
      <w:numPr>
        <w:numId w:val="11"/>
      </w:numPr>
    </w:pPr>
  </w:style>
  <w:style w:type="character" w:customStyle="1" w:styleId="WingdingSymbols">
    <w:name w:val="Wingding Symbols"/>
    <w:rsid w:val="00D4320C"/>
    <w:rPr>
      <w:rFonts w:ascii="Wingdings" w:hAnsi="Wingdings"/>
    </w:rPr>
  </w:style>
  <w:style w:type="paragraph" w:customStyle="1" w:styleId="TableHeading">
    <w:name w:val="Table Heading"/>
    <w:basedOn w:val="HeadingBase"/>
    <w:rsid w:val="00D43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20C"/>
    <w:rPr>
      <w:color w:val="0033CC"/>
      <w:u w:val="none"/>
    </w:rPr>
  </w:style>
  <w:style w:type="paragraph" w:customStyle="1" w:styleId="BodyTextRight">
    <w:name w:val="Body Text Right"/>
    <w:basedOn w:val="BodyText"/>
    <w:rsid w:val="00D43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2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20C"/>
    <w:rPr>
      <w:sz w:val="32"/>
    </w:rPr>
  </w:style>
  <w:style w:type="paragraph" w:customStyle="1" w:styleId="HeadingProcedure">
    <w:name w:val="Heading Procedure"/>
    <w:basedOn w:val="HeadingBase"/>
    <w:next w:val="Normal"/>
    <w:rsid w:val="00D43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20C"/>
    <w:pPr>
      <w:spacing w:before="60" w:after="60"/>
    </w:pPr>
  </w:style>
  <w:style w:type="paragraph" w:styleId="ListContinue">
    <w:name w:val="List Continue"/>
    <w:basedOn w:val="List"/>
    <w:rsid w:val="00D4320C"/>
    <w:pPr>
      <w:ind w:firstLine="0"/>
    </w:pPr>
  </w:style>
  <w:style w:type="paragraph" w:customStyle="1" w:styleId="ListNote">
    <w:name w:val="List Note"/>
    <w:basedOn w:val="List"/>
    <w:rsid w:val="00D43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20C"/>
    <w:rPr>
      <w:rFonts w:ascii="Courier New" w:hAnsi="Courier New"/>
    </w:rPr>
  </w:style>
  <w:style w:type="paragraph" w:customStyle="1" w:styleId="NoteBullet">
    <w:name w:val="Note Bullet"/>
    <w:basedOn w:val="Note"/>
    <w:rsid w:val="00D43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2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3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20C"/>
    <w:rPr>
      <w:b/>
      <w:smallCaps/>
    </w:rPr>
  </w:style>
  <w:style w:type="paragraph" w:customStyle="1" w:styleId="TableListNumber">
    <w:name w:val="Table List Number"/>
    <w:basedOn w:val="ListNumber"/>
    <w:rsid w:val="00D43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20C"/>
    <w:pPr>
      <w:numPr>
        <w:numId w:val="9"/>
      </w:numPr>
    </w:pPr>
  </w:style>
  <w:style w:type="paragraph" w:customStyle="1" w:styleId="ListAlpha2">
    <w:name w:val="List Alpha 2"/>
    <w:basedOn w:val="List2"/>
    <w:rsid w:val="00D4320C"/>
    <w:pPr>
      <w:numPr>
        <w:numId w:val="8"/>
      </w:numPr>
    </w:pPr>
  </w:style>
  <w:style w:type="paragraph" w:styleId="List2">
    <w:name w:val="List 2"/>
    <w:basedOn w:val="BodyText"/>
    <w:rsid w:val="00D43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2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20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2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320C"/>
    <w:pPr>
      <w:numPr>
        <w:numId w:val="4"/>
      </w:numPr>
    </w:pPr>
  </w:style>
  <w:style w:type="paragraph" w:styleId="ListContinue2">
    <w:name w:val="List Continue 2"/>
    <w:basedOn w:val="List2"/>
    <w:rsid w:val="00D4320C"/>
    <w:pPr>
      <w:ind w:firstLine="0"/>
    </w:pPr>
  </w:style>
  <w:style w:type="paragraph" w:styleId="ListContinue3">
    <w:name w:val="List Continue 3"/>
    <w:basedOn w:val="List3"/>
    <w:rsid w:val="00D4320C"/>
    <w:pPr>
      <w:ind w:left="1021" w:firstLine="0"/>
    </w:pPr>
  </w:style>
  <w:style w:type="paragraph" w:styleId="ListContinue4">
    <w:name w:val="List Continue 4"/>
    <w:basedOn w:val="List4"/>
    <w:rsid w:val="00D4320C"/>
    <w:pPr>
      <w:ind w:firstLine="0"/>
    </w:pPr>
  </w:style>
  <w:style w:type="paragraph" w:styleId="ListContinue5">
    <w:name w:val="List Continue 5"/>
    <w:basedOn w:val="List5"/>
    <w:rsid w:val="00D4320C"/>
    <w:pPr>
      <w:ind w:firstLine="0"/>
    </w:pPr>
  </w:style>
  <w:style w:type="paragraph" w:styleId="ListNumber3">
    <w:name w:val="List Number 3"/>
    <w:basedOn w:val="List3"/>
    <w:rsid w:val="00D4320C"/>
    <w:pPr>
      <w:numPr>
        <w:numId w:val="5"/>
      </w:numPr>
    </w:pPr>
  </w:style>
  <w:style w:type="paragraph" w:styleId="ListNumber4">
    <w:name w:val="List Number 4"/>
    <w:basedOn w:val="List4"/>
    <w:rsid w:val="00D4320C"/>
    <w:pPr>
      <w:numPr>
        <w:numId w:val="6"/>
      </w:numPr>
    </w:pPr>
  </w:style>
  <w:style w:type="paragraph" w:styleId="ListNumber5">
    <w:name w:val="List Number 5"/>
    <w:basedOn w:val="List5"/>
    <w:rsid w:val="00D4320C"/>
    <w:pPr>
      <w:numPr>
        <w:numId w:val="7"/>
      </w:numPr>
    </w:pPr>
  </w:style>
  <w:style w:type="paragraph" w:styleId="BlockText">
    <w:name w:val="Block Text"/>
    <w:basedOn w:val="Normal"/>
    <w:rsid w:val="00D43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20C"/>
    <w:rPr>
      <w:sz w:val="16"/>
      <w:vertAlign w:val="superscript"/>
    </w:rPr>
  </w:style>
  <w:style w:type="character" w:customStyle="1" w:styleId="Symbols">
    <w:name w:val="Symbols"/>
    <w:basedOn w:val="DefaultParagraphFont"/>
    <w:rsid w:val="00D4320C"/>
    <w:rPr>
      <w:rFonts w:ascii="Symbol" w:hAnsi="Symbol"/>
    </w:rPr>
  </w:style>
  <w:style w:type="character" w:customStyle="1" w:styleId="MenuOptions">
    <w:name w:val="Menu Options"/>
    <w:basedOn w:val="DefaultParagraphFont"/>
    <w:rsid w:val="00D43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20C"/>
    <w:rPr>
      <w:b/>
    </w:rPr>
  </w:style>
  <w:style w:type="character" w:customStyle="1" w:styleId="Underlined">
    <w:name w:val="Underlined"/>
    <w:basedOn w:val="DefaultParagraphFont"/>
    <w:rsid w:val="00D4320C"/>
    <w:rPr>
      <w:u w:val="single"/>
    </w:rPr>
  </w:style>
  <w:style w:type="paragraph" w:customStyle="1" w:styleId="TableBodyTextRight">
    <w:name w:val="Table Body Text Right"/>
    <w:basedOn w:val="TableBodyText"/>
    <w:rsid w:val="00D43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20C"/>
    <w:rPr>
      <w:sz w:val="18"/>
    </w:rPr>
  </w:style>
  <w:style w:type="paragraph" w:customStyle="1" w:styleId="BodySmallRight">
    <w:name w:val="Body Small Right"/>
    <w:basedOn w:val="BodyTextRight"/>
    <w:rsid w:val="00D4320C"/>
    <w:rPr>
      <w:sz w:val="18"/>
      <w:szCs w:val="18"/>
    </w:rPr>
  </w:style>
  <w:style w:type="paragraph" w:customStyle="1" w:styleId="MarginEdition">
    <w:name w:val="Margin Edition"/>
    <w:basedOn w:val="MarginNote"/>
    <w:rsid w:val="00D43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20C"/>
    <w:rPr>
      <w:sz w:val="2"/>
      <w:szCs w:val="2"/>
    </w:rPr>
  </w:style>
  <w:style w:type="character" w:customStyle="1" w:styleId="Small">
    <w:name w:val="Small"/>
    <w:basedOn w:val="DefaultParagraphFont"/>
    <w:rsid w:val="00D4320C"/>
    <w:rPr>
      <w:sz w:val="16"/>
    </w:rPr>
  </w:style>
  <w:style w:type="paragraph" w:customStyle="1" w:styleId="WideTable">
    <w:name w:val="Wide Table"/>
    <w:basedOn w:val="Normal"/>
    <w:rsid w:val="00D43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20C"/>
  </w:style>
  <w:style w:type="paragraph" w:styleId="Quote">
    <w:name w:val="Quote"/>
    <w:basedOn w:val="Heading1"/>
    <w:link w:val="QuoteChar"/>
    <w:qFormat/>
    <w:rsid w:val="00D43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20C"/>
    <w:pPr>
      <w:pageBreakBefore/>
    </w:pPr>
  </w:style>
  <w:style w:type="paragraph" w:customStyle="1" w:styleId="Border">
    <w:name w:val="Border"/>
    <w:basedOn w:val="Normal"/>
    <w:qFormat/>
    <w:rsid w:val="00D43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20C"/>
    <w:rPr>
      <w:u w:val="single"/>
    </w:rPr>
  </w:style>
  <w:style w:type="character" w:customStyle="1" w:styleId="BoldandItalics">
    <w:name w:val="Bold and Italics"/>
    <w:qFormat/>
    <w:rsid w:val="00D4320C"/>
    <w:rPr>
      <w:b/>
      <w:i/>
      <w:u w:val="none"/>
    </w:rPr>
  </w:style>
  <w:style w:type="paragraph" w:styleId="BalloonText">
    <w:name w:val="Balloon Text"/>
    <w:basedOn w:val="Normal"/>
    <w:link w:val="BalloonTextChar"/>
    <w:rsid w:val="00D43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2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68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3301</Characters>
  <Application>Microsoft Office Word</Application>
  <DocSecurity>0</DocSecurity>
  <Lines>91</Lines>
  <Paragraphs>66</Paragraphs>
  <ScaleCrop>false</ScaleCrop>
  <Company>Author-it Software Corporation Ltd.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AURVTP017 Rectify and touch up vehicle paint faults using clear over base two-pack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2018-12-07T02:33:00Z</dcterms:created>
  <dcterms:modified xsi:type="dcterms:W3CDTF">2018-12-07T02:33:00Z</dcterms:modified>
</cp:coreProperties>
</file>