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BBD" w:rsidP="00532B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AURVTP015 Match direct gloss solid paint colour on vehicles or components</w:t>
      </w:r>
      <w:r>
        <w:fldChar w:fldCharType="end"/>
      </w:r>
    </w:p>
    <w:p w:rsidR="00532BBD" w:rsidP="00532BBD">
      <w:pPr>
        <w:pStyle w:val="Version"/>
        <w:sectPr w:rsidSect="00102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74B" w:rsidP="0010274B">
      <w:pPr>
        <w:pStyle w:val="SuperHeading"/>
      </w:pPr>
      <w:r w:rsidRPr="0010274B">
        <w:t>Assessment Requirements for AURVTP015 Match direct gloss solid paint colour on vehicles or components</w:t>
      </w:r>
    </w:p>
    <w:p w:rsidR="00000000" w:rsidRPr="0010274B" w:rsidP="0010274B">
      <w:pPr>
        <w:pStyle w:val="Heading1"/>
      </w:pPr>
      <w:bookmarkStart w:id="1" w:name="O_804391"/>
      <w:bookmarkEnd w:id="1"/>
      <w:r w:rsidRPr="0010274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3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4B" w:rsidP="0010274B">
            <w:pPr>
              <w:pStyle w:val="BodyText"/>
            </w:pPr>
            <w:r w:rsidRPr="0010274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4B">
            <w:pPr>
              <w:pStyle w:val="BodyText"/>
              <w:rPr>
                <w:lang w:val="en-NZ"/>
              </w:rPr>
            </w:pPr>
            <w:r w:rsidRPr="0010274B">
              <w:rPr>
                <w:rStyle w:val="SpecialBold"/>
              </w:rPr>
              <w:t>Comment</w:t>
            </w:r>
          </w:p>
        </w:tc>
      </w:tr>
      <w:tr w:rsidTr="0053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4B">
            <w:pPr>
              <w:pStyle w:val="BodyText"/>
              <w:rPr>
                <w:lang w:val="en-NZ"/>
              </w:rPr>
            </w:pPr>
            <w:r w:rsidRPr="0010274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4B" w:rsidP="0010274B">
            <w:pPr>
              <w:pStyle w:val="BodyText"/>
            </w:pPr>
            <w:r w:rsidRPr="0010274B">
              <w:t>New unit of competency.</w:t>
            </w:r>
          </w:p>
        </w:tc>
      </w:tr>
    </w:tbl>
    <w:p w:rsidR="00000000" w:rsidRPr="0010274B" w:rsidP="0010274B">
      <w:pPr>
        <w:pStyle w:val="BodyText"/>
      </w:pPr>
    </w:p>
    <w:p w:rsidR="00000000" w:rsidRPr="0010274B" w:rsidP="0010274B">
      <w:pPr>
        <w:pStyle w:val="AllowPageBreak"/>
      </w:pPr>
    </w:p>
    <w:p w:rsidR="00000000" w:rsidRPr="0010274B" w:rsidP="0010274B">
      <w:pPr>
        <w:pStyle w:val="Heading1"/>
      </w:pPr>
      <w:bookmarkStart w:id="2" w:name="O_804392"/>
      <w:bookmarkEnd w:id="2"/>
      <w:r w:rsidRPr="0010274B">
        <w:t>Performance Evidence</w:t>
      </w:r>
    </w:p>
    <w:p w:rsidR="00000000" w:rsidRPr="0010274B" w:rsidP="00532BBD">
      <w:pPr>
        <w:pStyle w:val="BodyText"/>
      </w:pPr>
      <w:r w:rsidRPr="0010274B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10274B" w:rsidP="0010274B">
      <w:pPr>
        <w:pStyle w:val="ListBullet"/>
      </w:pPr>
      <w:r w:rsidRPr="0010274B">
        <w:t>perform visual paint colour matchi</w:t>
      </w:r>
      <w:r w:rsidRPr="0010274B">
        <w:t>ng on three different vehicle panels.</w:t>
      </w:r>
    </w:p>
    <w:p w:rsidR="00000000" w:rsidRPr="0010274B" w:rsidP="0010274B">
      <w:pPr>
        <w:pStyle w:val="AllowPageBreak"/>
      </w:pPr>
    </w:p>
    <w:p w:rsidR="00000000" w:rsidRPr="0010274B" w:rsidP="0010274B">
      <w:pPr>
        <w:pStyle w:val="Heading1"/>
      </w:pPr>
      <w:bookmarkStart w:id="3" w:name="O_804393"/>
      <w:bookmarkEnd w:id="3"/>
      <w:r w:rsidRPr="0010274B">
        <w:t>Knowledge Evidence</w:t>
      </w:r>
    </w:p>
    <w:p w:rsidR="00000000" w:rsidRPr="0010274B" w:rsidP="00532BBD">
      <w:pPr>
        <w:pStyle w:val="BodyText"/>
      </w:pPr>
      <w:r w:rsidRPr="0010274B">
        <w:t>Individuals must be able to demonstrate knowledge of:</w:t>
      </w:r>
    </w:p>
    <w:p w:rsidR="00000000" w:rsidRPr="0010274B" w:rsidP="0010274B">
      <w:pPr>
        <w:pStyle w:val="ListBullet"/>
      </w:pPr>
      <w:r w:rsidRPr="0010274B">
        <w:t xml:space="preserve">work health and safety (WHS) and occupational health and safety (OHS) requirements </w:t>
      </w:r>
      <w:r w:rsidRPr="0010274B">
        <w:t>relating to matching direct gloss solid paint colour on vehicles or components, including procedures for:</w:t>
      </w:r>
    </w:p>
    <w:p w:rsidR="00000000" w:rsidRPr="0010274B" w:rsidP="0010274B">
      <w:pPr>
        <w:pStyle w:val="ListBullet2"/>
      </w:pPr>
      <w:r w:rsidRPr="0010274B">
        <w:t>selecting and using personal protective equipment (PPE)</w:t>
      </w:r>
    </w:p>
    <w:p w:rsidR="00000000" w:rsidRPr="0010274B" w:rsidP="0010274B">
      <w:pPr>
        <w:pStyle w:val="ListBullet2"/>
      </w:pPr>
      <w:r w:rsidRPr="0010274B">
        <w:t>using technical data sheets (TDS) and safety data sheets (SDS) for paint materials</w:t>
      </w:r>
    </w:p>
    <w:p w:rsidR="00000000" w:rsidRPr="0010274B" w:rsidP="0010274B">
      <w:pPr>
        <w:pStyle w:val="ListBullet2"/>
      </w:pPr>
      <w:r w:rsidRPr="0010274B">
        <w:t>handling a</w:t>
      </w:r>
      <w:r w:rsidRPr="0010274B">
        <w:t>nd storing paint materials</w:t>
      </w:r>
    </w:p>
    <w:p w:rsidR="00000000" w:rsidRPr="0010274B" w:rsidP="0010274B">
      <w:pPr>
        <w:pStyle w:val="ListBullet2"/>
      </w:pPr>
      <w:r w:rsidRPr="0010274B">
        <w:t>using tools and equipment</w:t>
      </w:r>
    </w:p>
    <w:p w:rsidR="00000000" w:rsidRPr="0010274B" w:rsidP="0010274B">
      <w:pPr>
        <w:pStyle w:val="ListBullet2"/>
      </w:pPr>
      <w:r w:rsidRPr="0010274B">
        <w:t>using approved drying area</w:t>
      </w:r>
    </w:p>
    <w:p w:rsidR="00000000" w:rsidRPr="0010274B" w:rsidP="0010274B">
      <w:pPr>
        <w:pStyle w:val="ListBullet"/>
      </w:pPr>
      <w:r w:rsidRPr="0010274B">
        <w:t>environmental requirements, including procedures for trapping, storing and disposing of waste materials</w:t>
      </w:r>
    </w:p>
    <w:p w:rsidR="00000000" w:rsidRPr="0010274B" w:rsidP="0010274B">
      <w:pPr>
        <w:pStyle w:val="ListBullet"/>
      </w:pPr>
      <w:r w:rsidRPr="0010274B">
        <w:t>original equipment manufacturer (OEM) paint colour codes and formulas</w:t>
      </w:r>
    </w:p>
    <w:p w:rsidR="00000000" w:rsidRPr="0010274B" w:rsidP="0010274B">
      <w:pPr>
        <w:pStyle w:val="ListBullet"/>
      </w:pPr>
      <w:r w:rsidRPr="0010274B">
        <w:t>t</w:t>
      </w:r>
      <w:r w:rsidRPr="0010274B">
        <w:t>ypes and application methods for automotive paint</w:t>
      </w:r>
    </w:p>
    <w:p w:rsidR="00000000" w:rsidRPr="0010274B" w:rsidP="0010274B">
      <w:pPr>
        <w:pStyle w:val="ListBullet"/>
      </w:pPr>
      <w:r w:rsidRPr="0010274B">
        <w:t>types and use of paint colour matching equipment, including:</w:t>
      </w:r>
    </w:p>
    <w:p w:rsidR="00000000" w:rsidRPr="0010274B" w:rsidP="0010274B">
      <w:pPr>
        <w:pStyle w:val="ListBullet2"/>
      </w:pPr>
      <w:r w:rsidRPr="0010274B">
        <w:t>paint mixing systems</w:t>
      </w:r>
    </w:p>
    <w:p w:rsidR="00000000" w:rsidRPr="0010274B" w:rsidP="0010274B">
      <w:pPr>
        <w:pStyle w:val="ListBullet2"/>
      </w:pPr>
      <w:r w:rsidRPr="0010274B">
        <w:t>spray gun set-up, use and maintenance</w:t>
      </w:r>
    </w:p>
    <w:p w:rsidR="00000000" w:rsidRPr="0010274B" w:rsidP="0010274B">
      <w:pPr>
        <w:pStyle w:val="ListBullet2"/>
      </w:pPr>
      <w:r w:rsidRPr="0010274B">
        <w:t>paint drying equipment and methods</w:t>
      </w:r>
    </w:p>
    <w:p w:rsidR="00000000" w:rsidRPr="0010274B" w:rsidP="0010274B">
      <w:pPr>
        <w:pStyle w:val="ListBullet2"/>
      </w:pPr>
      <w:r w:rsidRPr="0010274B">
        <w:t>correct use of positive air feed masks</w:t>
      </w:r>
    </w:p>
    <w:p w:rsidR="00000000" w:rsidRPr="0010274B" w:rsidP="0010274B">
      <w:pPr>
        <w:pStyle w:val="ListBullet"/>
      </w:pPr>
      <w:r w:rsidRPr="0010274B">
        <w:t>colour matching methods and techniques for solid colour paints, including:</w:t>
      </w:r>
    </w:p>
    <w:p w:rsidR="00000000" w:rsidRPr="0010274B" w:rsidP="0010274B">
      <w:pPr>
        <w:pStyle w:val="ListBullet2"/>
      </w:pPr>
      <w:r w:rsidRPr="0010274B">
        <w:t>mixing system set-up and operation</w:t>
      </w:r>
    </w:p>
    <w:p w:rsidR="00000000" w:rsidRPr="0010274B" w:rsidP="0010274B">
      <w:pPr>
        <w:pStyle w:val="ListBullet2"/>
      </w:pPr>
      <w:r w:rsidRPr="0010274B">
        <w:t>colour test cards</w:t>
      </w:r>
    </w:p>
    <w:p w:rsidR="00000000" w:rsidRPr="0010274B" w:rsidP="0010274B">
      <w:pPr>
        <w:pStyle w:val="ListBullet2"/>
      </w:pPr>
      <w:r w:rsidRPr="0010274B">
        <w:t>visual colour matching tests, including opacity and film build, texture and peel</w:t>
      </w:r>
    </w:p>
    <w:p w:rsidR="00000000" w:rsidRPr="0010274B" w:rsidP="0010274B">
      <w:pPr>
        <w:pStyle w:val="ListBullet2"/>
      </w:pPr>
      <w:r w:rsidRPr="0010274B">
        <w:t>wet to wet matching</w:t>
      </w:r>
    </w:p>
    <w:p w:rsidR="00000000" w:rsidRPr="0010274B" w:rsidP="0010274B">
      <w:pPr>
        <w:pStyle w:val="ListBullet2"/>
      </w:pPr>
      <w:r w:rsidRPr="0010274B">
        <w:t>edge to edge matching</w:t>
      </w:r>
    </w:p>
    <w:p w:rsidR="00000000" w:rsidRPr="0010274B" w:rsidP="0010274B">
      <w:pPr>
        <w:pStyle w:val="ListBullet2"/>
      </w:pPr>
      <w:r w:rsidRPr="0010274B">
        <w:t>hard</w:t>
      </w:r>
      <w:r w:rsidRPr="0010274B">
        <w:t xml:space="preserve"> line matching</w:t>
      </w:r>
    </w:p>
    <w:p w:rsidR="00000000" w:rsidRPr="0010274B" w:rsidP="0010274B">
      <w:pPr>
        <w:pStyle w:val="ListBullet2"/>
      </w:pPr>
      <w:r w:rsidRPr="0010274B">
        <w:t>dabbing</w:t>
      </w:r>
    </w:p>
    <w:p w:rsidR="00000000" w:rsidRPr="0010274B" w:rsidP="0010274B">
      <w:pPr>
        <w:pStyle w:val="ListBullet2"/>
      </w:pPr>
      <w:r w:rsidRPr="0010274B">
        <w:t>paint mixing techniques</w:t>
      </w:r>
    </w:p>
    <w:p w:rsidR="00000000" w:rsidRPr="0010274B" w:rsidP="0010274B">
      <w:pPr>
        <w:pStyle w:val="ListBullet"/>
      </w:pPr>
      <w:r w:rsidRPr="0010274B">
        <w:t xml:space="preserve">procedures for protecting vehicle and components when colour matching </w:t>
      </w:r>
    </w:p>
    <w:p w:rsidR="00000000" w:rsidRPr="0010274B" w:rsidP="0010274B">
      <w:pPr>
        <w:pStyle w:val="ListBullet"/>
      </w:pPr>
      <w:r w:rsidRPr="0010274B">
        <w:t>procedures for final inspection of completed solid colour matching.</w:t>
      </w:r>
    </w:p>
    <w:p w:rsidR="00000000" w:rsidRPr="0010274B" w:rsidP="0010274B">
      <w:pPr>
        <w:pStyle w:val="AllowPageBreak"/>
      </w:pPr>
    </w:p>
    <w:p w:rsidR="00000000" w:rsidRPr="0010274B" w:rsidP="0010274B">
      <w:pPr>
        <w:pStyle w:val="Heading1"/>
      </w:pPr>
      <w:bookmarkStart w:id="4" w:name="O_804394"/>
      <w:bookmarkEnd w:id="4"/>
      <w:r w:rsidRPr="0010274B">
        <w:t>Assessment Conditions</w:t>
      </w:r>
    </w:p>
    <w:p w:rsidR="00000000" w:rsidRPr="0010274B" w:rsidP="00532BBD">
      <w:pPr>
        <w:pStyle w:val="BodyText"/>
      </w:pPr>
      <w:r w:rsidRPr="0010274B">
        <w:t>Assessors must satisfy NVR/AQTF assessor requirements.</w:t>
      </w:r>
    </w:p>
    <w:p w:rsidR="00000000" w:rsidRPr="0010274B" w:rsidP="00532BBD">
      <w:pPr>
        <w:pStyle w:val="BodyText"/>
      </w:pPr>
      <w:r w:rsidRPr="0010274B">
        <w:t>Competency is to be assessed in the workplace or a simulated environment that accurately reflects performance in a real workplace setting.</w:t>
      </w:r>
    </w:p>
    <w:p w:rsidR="00000000" w:rsidRPr="0010274B" w:rsidP="00532BBD">
      <w:pPr>
        <w:pStyle w:val="BodyText"/>
      </w:pPr>
      <w:r w:rsidRPr="0010274B">
        <w:t>Assessment must include direct observation of task.</w:t>
      </w:r>
    </w:p>
    <w:p w:rsidR="00000000" w:rsidRPr="0010274B" w:rsidP="00532BBD">
      <w:pPr>
        <w:pStyle w:val="BodyText"/>
      </w:pPr>
      <w:r w:rsidRPr="0010274B">
        <w:t>Where a</w:t>
      </w:r>
      <w:r w:rsidRPr="0010274B">
        <w:t>ssessment of competency includes third-party evidence, individuals must provide evidence that links them to the direct gloss solid paint colour they have matched to vehicles or components, e.g. repair orders.</w:t>
      </w:r>
    </w:p>
    <w:p w:rsidR="00000000" w:rsidRPr="0010274B" w:rsidP="00532BBD">
      <w:pPr>
        <w:pStyle w:val="BodyText"/>
      </w:pPr>
      <w:r w:rsidRPr="0010274B">
        <w:t>Assessors must verify performance evidence thr</w:t>
      </w:r>
      <w:r w:rsidRPr="0010274B">
        <w:t>ough questioning on skills and knowledge to ensure correct interpretation and application.</w:t>
      </w:r>
    </w:p>
    <w:p w:rsidR="00000000" w:rsidRPr="0010274B" w:rsidP="00532BBD">
      <w:pPr>
        <w:pStyle w:val="BodyText"/>
      </w:pPr>
      <w:r w:rsidRPr="0010274B">
        <w:t>The following resources must be made available:</w:t>
      </w:r>
    </w:p>
    <w:p w:rsidR="00000000" w:rsidRPr="0010274B" w:rsidP="0010274B">
      <w:pPr>
        <w:pStyle w:val="ListBullet"/>
      </w:pPr>
      <w:r w:rsidRPr="0010274B">
        <w:t>automotive repair workplace or simulated workplace</w:t>
      </w:r>
    </w:p>
    <w:p w:rsidR="00000000" w:rsidRPr="0010274B" w:rsidP="0010274B">
      <w:pPr>
        <w:pStyle w:val="ListBullet"/>
      </w:pPr>
      <w:r w:rsidRPr="0010274B">
        <w:t>workplace instructions</w:t>
      </w:r>
    </w:p>
    <w:p w:rsidR="00000000" w:rsidRPr="0010274B" w:rsidP="0010274B">
      <w:pPr>
        <w:pStyle w:val="ListBullet"/>
      </w:pPr>
      <w:r w:rsidRPr="0010274B">
        <w:t>OEM paint codes and specifications</w:t>
      </w:r>
    </w:p>
    <w:p w:rsidR="00000000" w:rsidRPr="0010274B" w:rsidP="0010274B">
      <w:pPr>
        <w:pStyle w:val="ListBullet"/>
      </w:pPr>
      <w:r w:rsidRPr="0010274B">
        <w:t>TDS an</w:t>
      </w:r>
      <w:r w:rsidRPr="0010274B">
        <w:t>d SDS for paint materials</w:t>
      </w:r>
    </w:p>
    <w:p w:rsidR="00000000" w:rsidRPr="0010274B" w:rsidP="0010274B">
      <w:pPr>
        <w:pStyle w:val="ListBullet"/>
      </w:pPr>
      <w:r w:rsidRPr="0010274B">
        <w:t>PPE required to colour match direct gloss solid paint colours</w:t>
      </w:r>
    </w:p>
    <w:p w:rsidR="00000000" w:rsidRPr="0010274B" w:rsidP="0010274B">
      <w:pPr>
        <w:pStyle w:val="ListBullet"/>
      </w:pPr>
      <w:r w:rsidRPr="0010274B">
        <w:t>colour test cards</w:t>
      </w:r>
    </w:p>
    <w:p w:rsidR="00000000" w:rsidRPr="0010274B" w:rsidP="0010274B">
      <w:pPr>
        <w:pStyle w:val="ListBullet"/>
      </w:pPr>
      <w:r w:rsidRPr="0010274B">
        <w:t>paint and materials to colour match solid paint colours</w:t>
      </w:r>
    </w:p>
    <w:p w:rsidR="00000000" w:rsidRPr="0010274B" w:rsidP="0010274B">
      <w:pPr>
        <w:pStyle w:val="ListBullet"/>
      </w:pPr>
      <w:r w:rsidRPr="0010274B">
        <w:t xml:space="preserve">three different painted vehicle panels requiring colour matching of direct gloss solid paint </w:t>
      </w:r>
    </w:p>
    <w:p w:rsidR="00000000" w:rsidRPr="0010274B" w:rsidP="0010274B">
      <w:pPr>
        <w:pStyle w:val="ListBullet"/>
      </w:pPr>
      <w:r w:rsidRPr="0010274B">
        <w:t>tools, equipment and materials appropriate for matching direct gloss solid paint colour on vehicles or components.</w:t>
      </w:r>
    </w:p>
    <w:p w:rsidR="00000000" w:rsidRPr="0010274B" w:rsidP="0010274B">
      <w:pPr>
        <w:pStyle w:val="AllowPageBreak"/>
      </w:pPr>
    </w:p>
    <w:p w:rsidR="00000000" w:rsidRPr="0010274B" w:rsidP="0010274B">
      <w:pPr>
        <w:pStyle w:val="Heading1"/>
      </w:pPr>
      <w:bookmarkStart w:id="5" w:name="O_804397"/>
      <w:bookmarkEnd w:id="5"/>
      <w:r w:rsidRPr="0010274B">
        <w:t>Links</w:t>
      </w:r>
    </w:p>
    <w:p w:rsidR="00000000" w:rsidRPr="0010274B" w:rsidP="00532BBD">
      <w:pPr>
        <w:pStyle w:val="BodyText"/>
      </w:pPr>
      <w:r w:rsidRPr="0010274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6146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0274B" w:rsidP="00532BBD">
      <w:pPr>
        <w:pStyle w:val="BodyText"/>
      </w:pPr>
      <w:r w:rsidRPr="0010274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6146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0274B" w:rsidP="0010274B"/>
    <w:sectPr w:rsidSect="001027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4B" w:rsidRPr="00532BBD" w:rsidP="00532B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BD" w:rsidP="00102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BBD" w:rsidP="00102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2BBD" w:rsidP="00102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74B" w:rsidRPr="00532BBD" w:rsidP="00532B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BD" w:rsidRPr="002D2AF8" w:rsidP="00102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AURVTP015 Match direct gloss solid paint colour on vehicles or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32BBD" w:rsidP="00102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A6E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38E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90BB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74B"/>
  </w:style>
  <w:style w:type="character" w:customStyle="1" w:styleId="Heading1Char">
    <w:name w:val="Heading 1 Char"/>
    <w:basedOn w:val="DefaultParagraphFont"/>
    <w:link w:val="Heading1"/>
    <w:rsid w:val="00102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7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7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74B"/>
    <w:rPr>
      <w:b/>
      <w:spacing w:val="0"/>
    </w:rPr>
  </w:style>
  <w:style w:type="paragraph" w:styleId="ListBullet2">
    <w:name w:val="List Bullet 2"/>
    <w:basedOn w:val="List2"/>
    <w:rsid w:val="001027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2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7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7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7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74B"/>
    <w:rPr>
      <w:i/>
    </w:rPr>
  </w:style>
  <w:style w:type="paragraph" w:styleId="Caption">
    <w:name w:val="caption"/>
    <w:basedOn w:val="BodyText"/>
    <w:next w:val="Normal"/>
    <w:qFormat/>
    <w:rsid w:val="00102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74B"/>
  </w:style>
  <w:style w:type="paragraph" w:styleId="TableofFigures">
    <w:name w:val="table of figures"/>
    <w:basedOn w:val="Normal"/>
    <w:next w:val="Normal"/>
    <w:semiHidden/>
    <w:rsid w:val="00102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74B"/>
    <w:pPr>
      <w:numPr>
        <w:numId w:val="11"/>
      </w:numPr>
    </w:pPr>
  </w:style>
  <w:style w:type="character" w:customStyle="1" w:styleId="WingdingSymbols">
    <w:name w:val="Wingding Symbols"/>
    <w:rsid w:val="0010274B"/>
    <w:rPr>
      <w:rFonts w:ascii="Wingdings" w:hAnsi="Wingdings"/>
    </w:rPr>
  </w:style>
  <w:style w:type="paragraph" w:customStyle="1" w:styleId="TableHeading">
    <w:name w:val="Table Heading"/>
    <w:basedOn w:val="HeadingBase"/>
    <w:rsid w:val="00102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74B"/>
    <w:rPr>
      <w:color w:val="0033CC"/>
      <w:u w:val="none"/>
    </w:rPr>
  </w:style>
  <w:style w:type="paragraph" w:customStyle="1" w:styleId="BodyTextRight">
    <w:name w:val="Body Text Right"/>
    <w:basedOn w:val="BodyText"/>
    <w:rsid w:val="00102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7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74B"/>
    <w:rPr>
      <w:sz w:val="32"/>
    </w:rPr>
  </w:style>
  <w:style w:type="paragraph" w:customStyle="1" w:styleId="HeadingProcedure">
    <w:name w:val="Heading Procedure"/>
    <w:basedOn w:val="HeadingBase"/>
    <w:next w:val="Normal"/>
    <w:rsid w:val="00102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74B"/>
    <w:pPr>
      <w:spacing w:before="60" w:after="60"/>
    </w:pPr>
  </w:style>
  <w:style w:type="paragraph" w:styleId="ListContinue">
    <w:name w:val="List Continue"/>
    <w:basedOn w:val="List"/>
    <w:rsid w:val="0010274B"/>
    <w:pPr>
      <w:ind w:firstLine="0"/>
    </w:pPr>
  </w:style>
  <w:style w:type="paragraph" w:customStyle="1" w:styleId="ListNote">
    <w:name w:val="List Note"/>
    <w:basedOn w:val="List"/>
    <w:rsid w:val="00102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74B"/>
    <w:rPr>
      <w:rFonts w:ascii="Courier New" w:hAnsi="Courier New"/>
    </w:rPr>
  </w:style>
  <w:style w:type="paragraph" w:customStyle="1" w:styleId="NoteBullet">
    <w:name w:val="Note Bullet"/>
    <w:basedOn w:val="Note"/>
    <w:rsid w:val="00102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7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2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74B"/>
    <w:rPr>
      <w:b/>
      <w:smallCaps/>
    </w:rPr>
  </w:style>
  <w:style w:type="paragraph" w:customStyle="1" w:styleId="TableListNumber">
    <w:name w:val="Table List Number"/>
    <w:basedOn w:val="ListNumber"/>
    <w:rsid w:val="00102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74B"/>
    <w:pPr>
      <w:numPr>
        <w:numId w:val="9"/>
      </w:numPr>
    </w:pPr>
  </w:style>
  <w:style w:type="paragraph" w:customStyle="1" w:styleId="ListAlpha2">
    <w:name w:val="List Alpha 2"/>
    <w:basedOn w:val="List2"/>
    <w:rsid w:val="0010274B"/>
    <w:pPr>
      <w:numPr>
        <w:numId w:val="8"/>
      </w:numPr>
    </w:pPr>
  </w:style>
  <w:style w:type="paragraph" w:styleId="List2">
    <w:name w:val="List 2"/>
    <w:basedOn w:val="BodyText"/>
    <w:rsid w:val="00102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74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7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274B"/>
    <w:pPr>
      <w:numPr>
        <w:numId w:val="4"/>
      </w:numPr>
    </w:pPr>
  </w:style>
  <w:style w:type="paragraph" w:styleId="ListContinue2">
    <w:name w:val="List Continue 2"/>
    <w:basedOn w:val="List2"/>
    <w:rsid w:val="0010274B"/>
    <w:pPr>
      <w:ind w:firstLine="0"/>
    </w:pPr>
  </w:style>
  <w:style w:type="paragraph" w:styleId="ListContinue3">
    <w:name w:val="List Continue 3"/>
    <w:basedOn w:val="List3"/>
    <w:rsid w:val="0010274B"/>
    <w:pPr>
      <w:ind w:left="1021" w:firstLine="0"/>
    </w:pPr>
  </w:style>
  <w:style w:type="paragraph" w:styleId="ListContinue4">
    <w:name w:val="List Continue 4"/>
    <w:basedOn w:val="List4"/>
    <w:rsid w:val="0010274B"/>
    <w:pPr>
      <w:ind w:firstLine="0"/>
    </w:pPr>
  </w:style>
  <w:style w:type="paragraph" w:styleId="ListContinue5">
    <w:name w:val="List Continue 5"/>
    <w:basedOn w:val="List5"/>
    <w:rsid w:val="0010274B"/>
    <w:pPr>
      <w:ind w:firstLine="0"/>
    </w:pPr>
  </w:style>
  <w:style w:type="paragraph" w:styleId="ListNumber3">
    <w:name w:val="List Number 3"/>
    <w:basedOn w:val="List3"/>
    <w:rsid w:val="0010274B"/>
    <w:pPr>
      <w:numPr>
        <w:numId w:val="5"/>
      </w:numPr>
    </w:pPr>
  </w:style>
  <w:style w:type="paragraph" w:styleId="ListNumber4">
    <w:name w:val="List Number 4"/>
    <w:basedOn w:val="List4"/>
    <w:rsid w:val="0010274B"/>
    <w:pPr>
      <w:numPr>
        <w:numId w:val="6"/>
      </w:numPr>
    </w:pPr>
  </w:style>
  <w:style w:type="paragraph" w:styleId="ListNumber5">
    <w:name w:val="List Number 5"/>
    <w:basedOn w:val="List5"/>
    <w:rsid w:val="0010274B"/>
    <w:pPr>
      <w:numPr>
        <w:numId w:val="7"/>
      </w:numPr>
    </w:pPr>
  </w:style>
  <w:style w:type="paragraph" w:styleId="BlockText">
    <w:name w:val="Block Text"/>
    <w:basedOn w:val="Normal"/>
    <w:rsid w:val="00102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74B"/>
    <w:rPr>
      <w:sz w:val="16"/>
      <w:vertAlign w:val="superscript"/>
    </w:rPr>
  </w:style>
  <w:style w:type="character" w:customStyle="1" w:styleId="Symbols">
    <w:name w:val="Symbols"/>
    <w:basedOn w:val="DefaultParagraphFont"/>
    <w:rsid w:val="0010274B"/>
    <w:rPr>
      <w:rFonts w:ascii="Symbol" w:hAnsi="Symbol"/>
    </w:rPr>
  </w:style>
  <w:style w:type="character" w:customStyle="1" w:styleId="MenuOptions">
    <w:name w:val="Menu Options"/>
    <w:basedOn w:val="DefaultParagraphFont"/>
    <w:rsid w:val="00102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74B"/>
    <w:rPr>
      <w:b/>
    </w:rPr>
  </w:style>
  <w:style w:type="character" w:customStyle="1" w:styleId="Underlined">
    <w:name w:val="Underlined"/>
    <w:basedOn w:val="DefaultParagraphFont"/>
    <w:rsid w:val="0010274B"/>
    <w:rPr>
      <w:u w:val="single"/>
    </w:rPr>
  </w:style>
  <w:style w:type="paragraph" w:customStyle="1" w:styleId="TableBodyTextRight">
    <w:name w:val="Table Body Text Right"/>
    <w:basedOn w:val="TableBodyText"/>
    <w:rsid w:val="00102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74B"/>
    <w:rPr>
      <w:sz w:val="18"/>
    </w:rPr>
  </w:style>
  <w:style w:type="paragraph" w:customStyle="1" w:styleId="BodySmallRight">
    <w:name w:val="Body Small Right"/>
    <w:basedOn w:val="BodyTextRight"/>
    <w:rsid w:val="0010274B"/>
    <w:rPr>
      <w:sz w:val="18"/>
      <w:szCs w:val="18"/>
    </w:rPr>
  </w:style>
  <w:style w:type="paragraph" w:customStyle="1" w:styleId="MarginEdition">
    <w:name w:val="Margin Edition"/>
    <w:basedOn w:val="MarginNote"/>
    <w:rsid w:val="00102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74B"/>
    <w:rPr>
      <w:sz w:val="2"/>
      <w:szCs w:val="2"/>
    </w:rPr>
  </w:style>
  <w:style w:type="character" w:customStyle="1" w:styleId="Small">
    <w:name w:val="Small"/>
    <w:basedOn w:val="DefaultParagraphFont"/>
    <w:rsid w:val="0010274B"/>
    <w:rPr>
      <w:sz w:val="16"/>
    </w:rPr>
  </w:style>
  <w:style w:type="paragraph" w:customStyle="1" w:styleId="WideTable">
    <w:name w:val="Wide Table"/>
    <w:basedOn w:val="Normal"/>
    <w:rsid w:val="00102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74B"/>
  </w:style>
  <w:style w:type="paragraph" w:styleId="Quote">
    <w:name w:val="Quote"/>
    <w:basedOn w:val="Heading1"/>
    <w:link w:val="QuoteChar"/>
    <w:qFormat/>
    <w:rsid w:val="00102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74B"/>
    <w:pPr>
      <w:pageBreakBefore/>
    </w:pPr>
  </w:style>
  <w:style w:type="paragraph" w:customStyle="1" w:styleId="Border">
    <w:name w:val="Border"/>
    <w:basedOn w:val="Normal"/>
    <w:qFormat/>
    <w:rsid w:val="00102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74B"/>
    <w:rPr>
      <w:u w:val="single"/>
    </w:rPr>
  </w:style>
  <w:style w:type="character" w:customStyle="1" w:styleId="BoldandItalics">
    <w:name w:val="Bold and Italics"/>
    <w:qFormat/>
    <w:rsid w:val="0010274B"/>
    <w:rPr>
      <w:b/>
      <w:i/>
      <w:u w:val="none"/>
    </w:rPr>
  </w:style>
  <w:style w:type="paragraph" w:styleId="BalloonText">
    <w:name w:val="Balloon Text"/>
    <w:basedOn w:val="Normal"/>
    <w:link w:val="BalloonTextChar"/>
    <w:rsid w:val="00102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7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2B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3233</Characters>
  <Application>Microsoft Office Word</Application>
  <DocSecurity>0</DocSecurity>
  <Lines>92</Lines>
  <Paragraphs>70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AURVTP015 Match direct gloss solid paint colour on vehicles or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2018-12-07T01:07:00Z</dcterms:created>
  <dcterms:modified xsi:type="dcterms:W3CDTF">2018-12-07T01:07:00Z</dcterms:modified>
</cp:coreProperties>
</file>