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1BD" w:rsidP="00212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AURVTP011 Apply solid acrylic two-pack materials to vehicle components</w:t>
      </w:r>
      <w:r>
        <w:fldChar w:fldCharType="end"/>
      </w:r>
    </w:p>
    <w:p w:rsidR="002121BD" w:rsidP="002121BD">
      <w:pPr>
        <w:pStyle w:val="Version"/>
        <w:sectPr w:rsidSect="00AB3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00C" w:rsidP="00AB300C">
      <w:pPr>
        <w:pStyle w:val="SuperHeading"/>
      </w:pPr>
      <w:r w:rsidRPr="00AB300C">
        <w:t>Assessment Requirements for AURVTP011 Apply solid acrylic two-pack materials to vehicle components</w:t>
      </w:r>
    </w:p>
    <w:p w:rsidR="00000000" w:rsidRPr="00AB300C" w:rsidP="00AB300C">
      <w:pPr>
        <w:pStyle w:val="Heading1"/>
      </w:pPr>
      <w:bookmarkStart w:id="1" w:name="O_804315"/>
      <w:bookmarkEnd w:id="1"/>
      <w:r w:rsidRPr="00AB30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21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00C" w:rsidP="00AB300C">
            <w:pPr>
              <w:pStyle w:val="BodyText"/>
            </w:pPr>
            <w:r w:rsidRPr="00AB30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00C">
            <w:pPr>
              <w:pStyle w:val="BodyText"/>
              <w:rPr>
                <w:lang w:val="en-NZ"/>
              </w:rPr>
            </w:pPr>
            <w:r w:rsidRPr="00AB300C">
              <w:rPr>
                <w:rStyle w:val="SpecialBold"/>
              </w:rPr>
              <w:t>Comment</w:t>
            </w:r>
          </w:p>
        </w:tc>
      </w:tr>
      <w:tr w:rsidTr="002121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00C">
            <w:pPr>
              <w:pStyle w:val="BodyText"/>
              <w:rPr>
                <w:lang w:val="en-NZ"/>
              </w:rPr>
            </w:pPr>
            <w:r w:rsidRPr="00AB30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00C" w:rsidP="00AB300C">
            <w:pPr>
              <w:pStyle w:val="BodyText"/>
            </w:pPr>
            <w:r w:rsidRPr="00AB300C">
              <w:t>New unit of competency.</w:t>
            </w:r>
          </w:p>
        </w:tc>
      </w:tr>
    </w:tbl>
    <w:p w:rsidR="00000000" w:rsidRPr="00AB300C" w:rsidP="00AB300C">
      <w:pPr>
        <w:pStyle w:val="BodyText"/>
      </w:pPr>
    </w:p>
    <w:p w:rsidR="00000000" w:rsidRPr="00AB300C" w:rsidP="00AB300C">
      <w:pPr>
        <w:pStyle w:val="AllowPageBreak"/>
      </w:pPr>
    </w:p>
    <w:p w:rsidR="00000000" w:rsidRPr="00AB300C" w:rsidP="00AB300C">
      <w:pPr>
        <w:pStyle w:val="Heading1"/>
      </w:pPr>
      <w:bookmarkStart w:id="2" w:name="O_804316"/>
      <w:bookmarkEnd w:id="2"/>
      <w:r w:rsidRPr="00AB300C">
        <w:t>Performance Evidence</w:t>
      </w:r>
    </w:p>
    <w:p w:rsidR="00000000" w:rsidRPr="00AB300C" w:rsidP="002121BD">
      <w:pPr>
        <w:pStyle w:val="BodyText"/>
      </w:pPr>
      <w:r w:rsidRPr="00AB300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B300C" w:rsidP="00AB300C">
      <w:pPr>
        <w:pStyle w:val="ListBullet"/>
      </w:pPr>
      <w:r w:rsidRPr="00AB300C">
        <w:t>apply solid acrylic two-pack mater</w:t>
      </w:r>
      <w:r w:rsidRPr="00AB300C">
        <w:t xml:space="preserve">ials to three different vehicles, in which the work must involve: </w:t>
      </w:r>
    </w:p>
    <w:p w:rsidR="00000000" w:rsidRPr="00AB300C" w:rsidP="00AB300C">
      <w:pPr>
        <w:pStyle w:val="ListBullet2"/>
      </w:pPr>
      <w:r w:rsidRPr="00AB300C">
        <w:t xml:space="preserve">two different vehicle panels </w:t>
      </w:r>
    </w:p>
    <w:p w:rsidR="00000000" w:rsidRPr="00AB300C" w:rsidP="00AB300C">
      <w:pPr>
        <w:pStyle w:val="ListBullet2"/>
      </w:pPr>
      <w:r w:rsidRPr="00AB300C">
        <w:t>two different vehicle full sides</w:t>
      </w:r>
    </w:p>
    <w:p w:rsidR="00000000" w:rsidRPr="00AB300C" w:rsidP="00AB300C">
      <w:pPr>
        <w:pStyle w:val="ListBullet2"/>
      </w:pPr>
      <w:r w:rsidRPr="00AB300C">
        <w:t xml:space="preserve">two different vehicle front ends or rear ends </w:t>
      </w:r>
    </w:p>
    <w:p w:rsidR="00000000" w:rsidRPr="00AB300C" w:rsidP="00AB300C">
      <w:pPr>
        <w:pStyle w:val="ListBullet"/>
      </w:pPr>
      <w:r w:rsidRPr="00AB300C">
        <w:t>check the above paintwork and rectify paint surface faults as required.</w:t>
      </w:r>
    </w:p>
    <w:p w:rsidR="00000000" w:rsidRPr="00AB300C" w:rsidP="00AB300C">
      <w:pPr>
        <w:pStyle w:val="AllowPageBreak"/>
      </w:pPr>
    </w:p>
    <w:p w:rsidR="00000000" w:rsidRPr="00AB300C" w:rsidP="00AB300C">
      <w:pPr>
        <w:pStyle w:val="Heading1"/>
      </w:pPr>
      <w:bookmarkStart w:id="3" w:name="O_804317"/>
      <w:bookmarkEnd w:id="3"/>
      <w:r w:rsidRPr="00AB300C">
        <w:t>Knowledge Evidence</w:t>
      </w:r>
    </w:p>
    <w:p w:rsidR="00000000" w:rsidRPr="00AB300C" w:rsidP="002121BD">
      <w:pPr>
        <w:pStyle w:val="BodyText"/>
      </w:pPr>
      <w:r w:rsidRPr="00AB300C">
        <w:t>Individuals must be able to demonstrate knowledge of:</w:t>
      </w:r>
    </w:p>
    <w:p w:rsidR="00000000" w:rsidRPr="00AB300C" w:rsidP="00AB300C">
      <w:pPr>
        <w:pStyle w:val="ListBullet"/>
      </w:pPr>
      <w:r w:rsidRPr="00AB300C">
        <w:t>work health and safety (WHS) and occupational health and safety (OHS) requirements relating to applying solid acrylic two-pack materials to vehicle components, includ</w:t>
      </w:r>
      <w:r w:rsidRPr="00AB300C">
        <w:t>ing procedures for:</w:t>
      </w:r>
    </w:p>
    <w:p w:rsidR="00000000" w:rsidRPr="00AB300C" w:rsidP="00AB300C">
      <w:pPr>
        <w:pStyle w:val="ListBullet2"/>
      </w:pPr>
      <w:r w:rsidRPr="00AB300C">
        <w:t>selecting and using personal protective equipment (PPE)</w:t>
      </w:r>
    </w:p>
    <w:p w:rsidR="00000000" w:rsidRPr="00AB300C" w:rsidP="00AB300C">
      <w:pPr>
        <w:pStyle w:val="ListBullet2"/>
      </w:pPr>
      <w:r w:rsidRPr="00AB300C">
        <w:t xml:space="preserve">using technical data sheets (TDS) and safety data sheets (SDS) for solid acrylic two-pack materials </w:t>
      </w:r>
    </w:p>
    <w:p w:rsidR="00000000" w:rsidRPr="00AB300C" w:rsidP="00AB300C">
      <w:pPr>
        <w:pStyle w:val="ListBullet2"/>
      </w:pPr>
      <w:r w:rsidRPr="00AB300C">
        <w:t>handling and storing paint materials</w:t>
      </w:r>
    </w:p>
    <w:p w:rsidR="00000000" w:rsidRPr="00AB300C" w:rsidP="00AB300C">
      <w:pPr>
        <w:pStyle w:val="ListBullet2"/>
      </w:pPr>
      <w:r w:rsidRPr="00AB300C">
        <w:t>using tools and equipment</w:t>
      </w:r>
    </w:p>
    <w:p w:rsidR="00000000" w:rsidRPr="00AB300C" w:rsidP="00AB300C">
      <w:pPr>
        <w:pStyle w:val="ListBullet2"/>
      </w:pPr>
      <w:r w:rsidRPr="00AB300C">
        <w:t xml:space="preserve">using approved </w:t>
      </w:r>
      <w:r w:rsidRPr="00AB300C">
        <w:t>drying area</w:t>
      </w:r>
    </w:p>
    <w:p w:rsidR="00000000" w:rsidRPr="00AB300C" w:rsidP="00AB300C">
      <w:pPr>
        <w:pStyle w:val="ListBullet"/>
      </w:pPr>
      <w:r w:rsidRPr="00AB300C">
        <w:t>environmental requirements, including procedures for trapping, storing and disposing of waste materials</w:t>
      </w:r>
    </w:p>
    <w:p w:rsidR="00000000" w:rsidRPr="00AB300C" w:rsidP="00AB300C">
      <w:pPr>
        <w:pStyle w:val="ListBullet"/>
      </w:pPr>
      <w:r w:rsidRPr="00AB300C">
        <w:t>paint manufacturer specifications</w:t>
      </w:r>
    </w:p>
    <w:p w:rsidR="00000000" w:rsidRPr="00AB300C" w:rsidP="00AB300C">
      <w:pPr>
        <w:pStyle w:val="ListBullet"/>
      </w:pPr>
      <w:r w:rsidRPr="00AB300C">
        <w:t>types and use of solid acrylic two-pack paint materials</w:t>
      </w:r>
    </w:p>
    <w:p w:rsidR="00000000" w:rsidRPr="00AB300C" w:rsidP="00AB300C">
      <w:pPr>
        <w:pStyle w:val="ListBullet"/>
      </w:pPr>
      <w:r w:rsidRPr="00AB300C">
        <w:t>types and use of spray guns, including:</w:t>
      </w:r>
    </w:p>
    <w:p w:rsidR="00000000" w:rsidRPr="00AB300C" w:rsidP="00AB300C">
      <w:pPr>
        <w:pStyle w:val="ListBullet2"/>
      </w:pPr>
      <w:r w:rsidRPr="00AB300C">
        <w:t>spray gun operation and spraying techniques</w:t>
      </w:r>
    </w:p>
    <w:p w:rsidR="00000000" w:rsidRPr="00AB300C" w:rsidP="00AB300C">
      <w:pPr>
        <w:pStyle w:val="ListBullet2"/>
      </w:pPr>
      <w:r w:rsidRPr="00AB300C">
        <w:t>spray gun cleaning and maintenance methods</w:t>
      </w:r>
    </w:p>
    <w:p w:rsidR="00000000" w:rsidRPr="00AB300C" w:rsidP="00AB300C">
      <w:pPr>
        <w:pStyle w:val="ListBullet"/>
      </w:pPr>
      <w:r w:rsidRPr="00AB300C">
        <w:t>paint application methods and techniques, including:</w:t>
      </w:r>
    </w:p>
    <w:p w:rsidR="00000000" w:rsidRPr="00AB300C" w:rsidP="00AB300C">
      <w:pPr>
        <w:pStyle w:val="ListBullet2"/>
      </w:pPr>
      <w:r w:rsidRPr="00AB300C">
        <w:t>drying methods for solid acrylic two-pack materials</w:t>
      </w:r>
    </w:p>
    <w:p w:rsidR="00000000" w:rsidRPr="00AB300C" w:rsidP="00AB300C">
      <w:pPr>
        <w:pStyle w:val="ListBullet2"/>
      </w:pPr>
      <w:r w:rsidRPr="00AB300C">
        <w:t>paint surface fault identification and rectification procedure</w:t>
      </w:r>
      <w:r w:rsidRPr="00AB300C">
        <w:t>s</w:t>
      </w:r>
    </w:p>
    <w:p w:rsidR="00000000" w:rsidRPr="00AB300C" w:rsidP="00AB300C">
      <w:pPr>
        <w:pStyle w:val="ListBullet2"/>
      </w:pPr>
      <w:r w:rsidRPr="00AB300C">
        <w:t>correct use of positive air feed masks</w:t>
      </w:r>
    </w:p>
    <w:p w:rsidR="00000000" w:rsidRPr="00AB300C" w:rsidP="00AB300C">
      <w:pPr>
        <w:pStyle w:val="ListBullet"/>
      </w:pPr>
      <w:r w:rsidRPr="00AB300C">
        <w:t xml:space="preserve">procedures for protecting vehicle and components when applying solid acrylic two-pack materials </w:t>
      </w:r>
    </w:p>
    <w:p w:rsidR="00000000" w:rsidRPr="00AB300C" w:rsidP="00AB300C">
      <w:pPr>
        <w:pStyle w:val="ListBullet"/>
      </w:pPr>
      <w:r w:rsidRPr="00AB300C">
        <w:t>procedures for final inspection of solid acrylic two-pack painted surfaces.</w:t>
      </w:r>
    </w:p>
    <w:p w:rsidR="00000000" w:rsidRPr="00AB300C" w:rsidP="00AB300C">
      <w:pPr>
        <w:pStyle w:val="AllowPageBreak"/>
      </w:pPr>
    </w:p>
    <w:p w:rsidR="00000000" w:rsidRPr="00AB300C" w:rsidP="00AB300C">
      <w:pPr>
        <w:pStyle w:val="Heading1"/>
      </w:pPr>
      <w:bookmarkStart w:id="4" w:name="O_804318"/>
      <w:bookmarkEnd w:id="4"/>
      <w:r w:rsidRPr="00AB300C">
        <w:t>Assessment Conditions</w:t>
      </w:r>
    </w:p>
    <w:p w:rsidR="00000000" w:rsidRPr="00AB300C" w:rsidP="002121BD">
      <w:pPr>
        <w:pStyle w:val="BodyText"/>
      </w:pPr>
      <w:r w:rsidRPr="00AB300C">
        <w:t>As</w:t>
      </w:r>
      <w:r w:rsidRPr="00AB300C">
        <w:t>sessors must satisfy NVR/AQTF assessor requirements.</w:t>
      </w:r>
    </w:p>
    <w:p w:rsidR="00000000" w:rsidRPr="00AB300C" w:rsidP="002121BD">
      <w:pPr>
        <w:pStyle w:val="BodyText"/>
      </w:pPr>
      <w:r w:rsidRPr="00AB300C">
        <w:t>Competency is to be assessed in the workplace or a simulated environment that accurately reflects performance in a real workplace setting.</w:t>
      </w:r>
    </w:p>
    <w:p w:rsidR="00000000" w:rsidRPr="00AB300C" w:rsidP="002121BD">
      <w:pPr>
        <w:pStyle w:val="BodyText"/>
      </w:pPr>
      <w:r w:rsidRPr="00AB300C">
        <w:t>Assessment must include direct observation of task.</w:t>
      </w:r>
    </w:p>
    <w:p w:rsidR="00000000" w:rsidRPr="00AB300C" w:rsidP="002121BD">
      <w:pPr>
        <w:pStyle w:val="BodyText"/>
      </w:pPr>
      <w:r w:rsidRPr="00AB300C">
        <w:t>Where assessment of competency includes third-party evidence, individuals must provide evidence that links them to the solid acrylic two-pack materials they have applied to vehicle components, e.g. repair orders.</w:t>
      </w:r>
    </w:p>
    <w:p w:rsidR="00000000" w:rsidRPr="00AB300C" w:rsidP="002121BD">
      <w:pPr>
        <w:pStyle w:val="BodyText"/>
      </w:pPr>
      <w:r w:rsidRPr="00AB300C">
        <w:t>Assessors must verify performance evidence</w:t>
      </w:r>
      <w:r w:rsidRPr="00AB300C">
        <w:t xml:space="preserve"> through questioning on skills and knowledge to ensure correct interpretation and application.</w:t>
      </w:r>
    </w:p>
    <w:p w:rsidR="00000000" w:rsidRPr="00AB300C" w:rsidP="002121BD">
      <w:pPr>
        <w:pStyle w:val="BodyText"/>
      </w:pPr>
      <w:r w:rsidRPr="00AB300C">
        <w:t>The following resources must be made available:</w:t>
      </w:r>
    </w:p>
    <w:p w:rsidR="00000000" w:rsidRPr="00AB300C" w:rsidP="00AB300C">
      <w:pPr>
        <w:pStyle w:val="ListBullet"/>
      </w:pPr>
      <w:r w:rsidRPr="00AB300C">
        <w:t>automotive repair workplace or simulated workplace</w:t>
      </w:r>
    </w:p>
    <w:p w:rsidR="00000000" w:rsidRPr="00AB300C" w:rsidP="00AB300C">
      <w:pPr>
        <w:pStyle w:val="ListBullet"/>
      </w:pPr>
      <w:r w:rsidRPr="00AB300C">
        <w:t>workplace instructions</w:t>
      </w:r>
    </w:p>
    <w:p w:rsidR="00000000" w:rsidRPr="00AB300C" w:rsidP="00AB300C">
      <w:pPr>
        <w:pStyle w:val="ListBullet"/>
      </w:pPr>
      <w:r w:rsidRPr="00AB300C">
        <w:t>manufacturer specifications</w:t>
      </w:r>
    </w:p>
    <w:p w:rsidR="00000000" w:rsidRPr="00AB300C" w:rsidP="00AB300C">
      <w:pPr>
        <w:pStyle w:val="ListBullet"/>
      </w:pPr>
      <w:r w:rsidRPr="00AB300C">
        <w:t>TDS and S</w:t>
      </w:r>
      <w:r w:rsidRPr="00AB300C">
        <w:t>DS for solid acrylic two-pack materials</w:t>
      </w:r>
    </w:p>
    <w:p w:rsidR="00000000" w:rsidRPr="00AB300C" w:rsidP="00AB300C">
      <w:pPr>
        <w:pStyle w:val="ListBullet"/>
      </w:pPr>
      <w:r w:rsidRPr="00AB300C">
        <w:t>PPE required to apply solid acrylic two-pack materials</w:t>
      </w:r>
    </w:p>
    <w:p w:rsidR="00000000" w:rsidRPr="00AB300C" w:rsidP="00AB300C">
      <w:pPr>
        <w:pStyle w:val="ListBullet"/>
      </w:pPr>
      <w:r w:rsidRPr="00AB300C">
        <w:t>solid acrylic two-pack paint materials</w:t>
      </w:r>
    </w:p>
    <w:p w:rsidR="00000000" w:rsidRPr="00AB300C" w:rsidP="00AB300C">
      <w:pPr>
        <w:pStyle w:val="ListBullet"/>
      </w:pPr>
      <w:r w:rsidRPr="00AB300C">
        <w:t>three different vehicles with components specified in the performance evidence requiring spray painting using solid acryli</w:t>
      </w:r>
      <w:r w:rsidRPr="00AB300C">
        <w:t>c two-pack materials tools, equipment and materials appropriate for applying solid acrylic two-pack materials.</w:t>
      </w:r>
    </w:p>
    <w:p w:rsidR="00000000" w:rsidRPr="00AB300C" w:rsidP="00AB300C">
      <w:pPr>
        <w:pStyle w:val="ListBullet"/>
      </w:pPr>
      <w:r w:rsidRPr="00AB300C">
        <w:t>tools, equipment and materials appropriate for applying solid acrylic two-pack materials.</w:t>
      </w:r>
    </w:p>
    <w:p w:rsidR="00000000" w:rsidRPr="00AB300C" w:rsidP="00AB300C">
      <w:pPr>
        <w:pStyle w:val="AllowPageBreak"/>
      </w:pPr>
    </w:p>
    <w:p w:rsidR="00000000" w:rsidRPr="00AB300C" w:rsidP="00AB300C">
      <w:pPr>
        <w:pStyle w:val="Heading1"/>
      </w:pPr>
      <w:bookmarkStart w:id="5" w:name="O_804321"/>
      <w:bookmarkEnd w:id="5"/>
      <w:r w:rsidRPr="00AB300C">
        <w:t>Links</w:t>
      </w:r>
    </w:p>
    <w:p w:rsidR="00000000" w:rsidRPr="00AB300C" w:rsidP="002121BD">
      <w:pPr>
        <w:pStyle w:val="BodyText"/>
      </w:pPr>
      <w:r w:rsidRPr="00AB300C">
        <w:t xml:space="preserve">Companion Volume implementation </w:t>
      </w:r>
      <w:r w:rsidRPr="00AB300C">
        <w:t xml:space="preserve">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D72B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B300C" w:rsidP="002121BD">
      <w:pPr>
        <w:pStyle w:val="BodyText"/>
      </w:pPr>
      <w:r w:rsidRPr="00AB30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D72B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B300C" w:rsidP="00AB300C"/>
    <w:sectPr w:rsidSect="00AB30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0C" w:rsidRPr="002121BD" w:rsidP="00212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BD" w:rsidP="00AB3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1BD" w:rsidP="00AB3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21BD" w:rsidP="00AB3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00C" w:rsidRPr="002121BD" w:rsidP="00212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BD" w:rsidRPr="002D2AF8" w:rsidP="00AB3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AURVTP011 Apply solid acrylic two-pack materials to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121BD" w:rsidP="00AB3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8B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F64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E1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00C"/>
  </w:style>
  <w:style w:type="character" w:customStyle="1" w:styleId="Heading1Char">
    <w:name w:val="Heading 1 Char"/>
    <w:basedOn w:val="DefaultParagraphFont"/>
    <w:link w:val="Heading1"/>
    <w:rsid w:val="00AB3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0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00C"/>
    <w:rPr>
      <w:b/>
      <w:spacing w:val="0"/>
    </w:rPr>
  </w:style>
  <w:style w:type="paragraph" w:styleId="ListBullet2">
    <w:name w:val="List Bullet 2"/>
    <w:basedOn w:val="List2"/>
    <w:rsid w:val="00AB30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00C"/>
    <w:rPr>
      <w:i/>
    </w:rPr>
  </w:style>
  <w:style w:type="paragraph" w:styleId="Caption">
    <w:name w:val="caption"/>
    <w:basedOn w:val="BodyText"/>
    <w:next w:val="Normal"/>
    <w:qFormat/>
    <w:rsid w:val="00AB3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00C"/>
  </w:style>
  <w:style w:type="paragraph" w:styleId="TableofFigures">
    <w:name w:val="table of figures"/>
    <w:basedOn w:val="Normal"/>
    <w:next w:val="Normal"/>
    <w:semiHidden/>
    <w:rsid w:val="00AB3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00C"/>
    <w:pPr>
      <w:numPr>
        <w:numId w:val="11"/>
      </w:numPr>
    </w:pPr>
  </w:style>
  <w:style w:type="character" w:customStyle="1" w:styleId="WingdingSymbols">
    <w:name w:val="Wingding Symbols"/>
    <w:rsid w:val="00AB300C"/>
    <w:rPr>
      <w:rFonts w:ascii="Wingdings" w:hAnsi="Wingdings"/>
    </w:rPr>
  </w:style>
  <w:style w:type="paragraph" w:customStyle="1" w:styleId="TableHeading">
    <w:name w:val="Table Heading"/>
    <w:basedOn w:val="HeadingBase"/>
    <w:rsid w:val="00AB3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00C"/>
    <w:rPr>
      <w:color w:val="0033CC"/>
      <w:u w:val="none"/>
    </w:rPr>
  </w:style>
  <w:style w:type="paragraph" w:customStyle="1" w:styleId="BodyTextRight">
    <w:name w:val="Body Text Right"/>
    <w:basedOn w:val="BodyText"/>
    <w:rsid w:val="00AB3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0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00C"/>
    <w:rPr>
      <w:sz w:val="32"/>
    </w:rPr>
  </w:style>
  <w:style w:type="paragraph" w:customStyle="1" w:styleId="HeadingProcedure">
    <w:name w:val="Heading Procedure"/>
    <w:basedOn w:val="HeadingBase"/>
    <w:next w:val="Normal"/>
    <w:rsid w:val="00AB3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00C"/>
    <w:pPr>
      <w:spacing w:before="60" w:after="60"/>
    </w:pPr>
  </w:style>
  <w:style w:type="paragraph" w:styleId="ListContinue">
    <w:name w:val="List Continue"/>
    <w:basedOn w:val="List"/>
    <w:rsid w:val="00AB300C"/>
    <w:pPr>
      <w:ind w:firstLine="0"/>
    </w:pPr>
  </w:style>
  <w:style w:type="paragraph" w:customStyle="1" w:styleId="ListNote">
    <w:name w:val="List Note"/>
    <w:basedOn w:val="List"/>
    <w:rsid w:val="00AB3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00C"/>
    <w:rPr>
      <w:rFonts w:ascii="Courier New" w:hAnsi="Courier New"/>
    </w:rPr>
  </w:style>
  <w:style w:type="paragraph" w:customStyle="1" w:styleId="NoteBullet">
    <w:name w:val="Note Bullet"/>
    <w:basedOn w:val="Note"/>
    <w:rsid w:val="00AB3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0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3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00C"/>
    <w:rPr>
      <w:b/>
      <w:smallCaps/>
    </w:rPr>
  </w:style>
  <w:style w:type="paragraph" w:customStyle="1" w:styleId="TableListNumber">
    <w:name w:val="Table List Number"/>
    <w:basedOn w:val="ListNumber"/>
    <w:rsid w:val="00AB3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00C"/>
    <w:pPr>
      <w:numPr>
        <w:numId w:val="9"/>
      </w:numPr>
    </w:pPr>
  </w:style>
  <w:style w:type="paragraph" w:customStyle="1" w:styleId="ListAlpha2">
    <w:name w:val="List Alpha 2"/>
    <w:basedOn w:val="List2"/>
    <w:rsid w:val="00AB300C"/>
    <w:pPr>
      <w:numPr>
        <w:numId w:val="8"/>
      </w:numPr>
    </w:pPr>
  </w:style>
  <w:style w:type="paragraph" w:styleId="List2">
    <w:name w:val="List 2"/>
    <w:basedOn w:val="BodyText"/>
    <w:rsid w:val="00AB3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0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0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00C"/>
    <w:pPr>
      <w:numPr>
        <w:numId w:val="4"/>
      </w:numPr>
    </w:pPr>
  </w:style>
  <w:style w:type="paragraph" w:styleId="ListContinue2">
    <w:name w:val="List Continue 2"/>
    <w:basedOn w:val="List2"/>
    <w:rsid w:val="00AB300C"/>
    <w:pPr>
      <w:ind w:firstLine="0"/>
    </w:pPr>
  </w:style>
  <w:style w:type="paragraph" w:styleId="ListContinue3">
    <w:name w:val="List Continue 3"/>
    <w:basedOn w:val="List3"/>
    <w:rsid w:val="00AB300C"/>
    <w:pPr>
      <w:ind w:left="1021" w:firstLine="0"/>
    </w:pPr>
  </w:style>
  <w:style w:type="paragraph" w:styleId="ListContinue4">
    <w:name w:val="List Continue 4"/>
    <w:basedOn w:val="List4"/>
    <w:rsid w:val="00AB300C"/>
    <w:pPr>
      <w:ind w:firstLine="0"/>
    </w:pPr>
  </w:style>
  <w:style w:type="paragraph" w:styleId="ListContinue5">
    <w:name w:val="List Continue 5"/>
    <w:basedOn w:val="List5"/>
    <w:rsid w:val="00AB300C"/>
    <w:pPr>
      <w:ind w:firstLine="0"/>
    </w:pPr>
  </w:style>
  <w:style w:type="paragraph" w:styleId="ListNumber3">
    <w:name w:val="List Number 3"/>
    <w:basedOn w:val="List3"/>
    <w:rsid w:val="00AB300C"/>
    <w:pPr>
      <w:numPr>
        <w:numId w:val="5"/>
      </w:numPr>
    </w:pPr>
  </w:style>
  <w:style w:type="paragraph" w:styleId="ListNumber4">
    <w:name w:val="List Number 4"/>
    <w:basedOn w:val="List4"/>
    <w:rsid w:val="00AB300C"/>
    <w:pPr>
      <w:numPr>
        <w:numId w:val="6"/>
      </w:numPr>
    </w:pPr>
  </w:style>
  <w:style w:type="paragraph" w:styleId="ListNumber5">
    <w:name w:val="List Number 5"/>
    <w:basedOn w:val="List5"/>
    <w:rsid w:val="00AB300C"/>
    <w:pPr>
      <w:numPr>
        <w:numId w:val="7"/>
      </w:numPr>
    </w:pPr>
  </w:style>
  <w:style w:type="paragraph" w:styleId="BlockText">
    <w:name w:val="Block Text"/>
    <w:basedOn w:val="Normal"/>
    <w:rsid w:val="00AB3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00C"/>
    <w:rPr>
      <w:sz w:val="16"/>
      <w:vertAlign w:val="superscript"/>
    </w:rPr>
  </w:style>
  <w:style w:type="character" w:customStyle="1" w:styleId="Symbols">
    <w:name w:val="Symbols"/>
    <w:basedOn w:val="DefaultParagraphFont"/>
    <w:rsid w:val="00AB300C"/>
    <w:rPr>
      <w:rFonts w:ascii="Symbol" w:hAnsi="Symbol"/>
    </w:rPr>
  </w:style>
  <w:style w:type="character" w:customStyle="1" w:styleId="MenuOptions">
    <w:name w:val="Menu Options"/>
    <w:basedOn w:val="DefaultParagraphFont"/>
    <w:rsid w:val="00AB3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00C"/>
    <w:rPr>
      <w:b/>
    </w:rPr>
  </w:style>
  <w:style w:type="character" w:customStyle="1" w:styleId="Underlined">
    <w:name w:val="Underlined"/>
    <w:basedOn w:val="DefaultParagraphFont"/>
    <w:rsid w:val="00AB300C"/>
    <w:rPr>
      <w:u w:val="single"/>
    </w:rPr>
  </w:style>
  <w:style w:type="paragraph" w:customStyle="1" w:styleId="TableBodyTextRight">
    <w:name w:val="Table Body Text Right"/>
    <w:basedOn w:val="TableBodyText"/>
    <w:rsid w:val="00AB3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00C"/>
    <w:rPr>
      <w:sz w:val="18"/>
    </w:rPr>
  </w:style>
  <w:style w:type="paragraph" w:customStyle="1" w:styleId="BodySmallRight">
    <w:name w:val="Body Small Right"/>
    <w:basedOn w:val="BodyTextRight"/>
    <w:rsid w:val="00AB300C"/>
    <w:rPr>
      <w:sz w:val="18"/>
      <w:szCs w:val="18"/>
    </w:rPr>
  </w:style>
  <w:style w:type="paragraph" w:customStyle="1" w:styleId="MarginEdition">
    <w:name w:val="Margin Edition"/>
    <w:basedOn w:val="MarginNote"/>
    <w:rsid w:val="00AB3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00C"/>
    <w:rPr>
      <w:sz w:val="2"/>
      <w:szCs w:val="2"/>
    </w:rPr>
  </w:style>
  <w:style w:type="character" w:customStyle="1" w:styleId="Small">
    <w:name w:val="Small"/>
    <w:basedOn w:val="DefaultParagraphFont"/>
    <w:rsid w:val="00AB300C"/>
    <w:rPr>
      <w:sz w:val="16"/>
    </w:rPr>
  </w:style>
  <w:style w:type="paragraph" w:customStyle="1" w:styleId="WideTable">
    <w:name w:val="Wide Table"/>
    <w:basedOn w:val="Normal"/>
    <w:rsid w:val="00AB3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00C"/>
  </w:style>
  <w:style w:type="paragraph" w:styleId="Quote">
    <w:name w:val="Quote"/>
    <w:basedOn w:val="Heading1"/>
    <w:link w:val="QuoteChar"/>
    <w:qFormat/>
    <w:rsid w:val="00AB3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00C"/>
    <w:pPr>
      <w:pageBreakBefore/>
    </w:pPr>
  </w:style>
  <w:style w:type="paragraph" w:customStyle="1" w:styleId="Border">
    <w:name w:val="Border"/>
    <w:basedOn w:val="Normal"/>
    <w:qFormat/>
    <w:rsid w:val="00AB3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00C"/>
    <w:rPr>
      <w:u w:val="single"/>
    </w:rPr>
  </w:style>
  <w:style w:type="character" w:customStyle="1" w:styleId="BoldandItalics">
    <w:name w:val="Bold and Italics"/>
    <w:qFormat/>
    <w:rsid w:val="00AB300C"/>
    <w:rPr>
      <w:b/>
      <w:i/>
      <w:u w:val="none"/>
    </w:rPr>
  </w:style>
  <w:style w:type="paragraph" w:styleId="BalloonText">
    <w:name w:val="Balloon Text"/>
    <w:basedOn w:val="Normal"/>
    <w:link w:val="BalloonTextChar"/>
    <w:rsid w:val="00AB3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0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2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3375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AURVTP011 Apply solid acrylic two-pack materials to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2018-12-07T02:23:00Z</dcterms:created>
  <dcterms:modified xsi:type="dcterms:W3CDTF">2018-12-07T02:23:00Z</dcterms:modified>
</cp:coreProperties>
</file>