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1DC" w:rsidP="008B31DC">
      <w:pPr>
        <w:pStyle w:val="Title"/>
      </w:pPr>
      <w:r>
        <w:fldChar w:fldCharType="begin"/>
      </w:r>
      <w:r>
        <w:instrText xml:space="preserve"> TITLE   \* MERGEFORMAT </w:instrText>
      </w:r>
      <w:r>
        <w:fldChar w:fldCharType="separate"/>
      </w:r>
      <w:r>
        <w:t>AURVTP004 Apply basic colour matching techniques using vehicle paint codes</w:t>
      </w:r>
      <w:r>
        <w:fldChar w:fldCharType="end"/>
      </w:r>
    </w:p>
    <w:p w:rsidR="008B31DC" w:rsidP="008B31DC">
      <w:pPr>
        <w:pStyle w:val="Version"/>
        <w:sectPr w:rsidSect="00A51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6C0" w:rsidP="00A516C0">
      <w:pPr>
        <w:pStyle w:val="SuperHeading"/>
      </w:pPr>
      <w:r w:rsidRPr="00A516C0">
        <w:t>AURVTP004 Apply basic colour matching techniques using vehicle paint codes</w:t>
      </w:r>
    </w:p>
    <w:p w:rsidR="00000000" w:rsidRPr="00A516C0" w:rsidP="00A516C0">
      <w:pPr>
        <w:pStyle w:val="Heading1"/>
      </w:pPr>
      <w:bookmarkStart w:id="1" w:name="O_804172"/>
      <w:bookmarkEnd w:id="1"/>
      <w:r w:rsidRPr="00A516C0">
        <w:t>Modification History</w:t>
      </w:r>
    </w:p>
    <w:tbl>
      <w:tblPr>
        <w:tblW w:w="9639" w:type="dxa"/>
        <w:tblLayout w:type="fixed"/>
        <w:tblCellMar>
          <w:left w:w="62" w:type="dxa"/>
          <w:right w:w="62" w:type="dxa"/>
        </w:tblCellMar>
        <w:tblLook w:val="0000"/>
      </w:tblPr>
      <w:tblGrid>
        <w:gridCol w:w="2835"/>
        <w:gridCol w:w="6804"/>
      </w:tblGrid>
      <w:tr w:rsidTr="008B31D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6C0" w:rsidP="00A516C0">
            <w:pPr>
              <w:pStyle w:val="BodyText"/>
            </w:pPr>
            <w:r w:rsidRPr="00A516C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6C0">
            <w:pPr>
              <w:pStyle w:val="BodyText"/>
              <w:rPr>
                <w:lang w:val="en-NZ"/>
              </w:rPr>
            </w:pPr>
            <w:r w:rsidRPr="00A516C0">
              <w:rPr>
                <w:rStyle w:val="SpecialBold"/>
              </w:rPr>
              <w:t>Comment</w:t>
            </w:r>
          </w:p>
        </w:tc>
      </w:tr>
      <w:tr w:rsidTr="008B31D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6C0">
            <w:pPr>
              <w:pStyle w:val="BodyText"/>
              <w:rPr>
                <w:lang w:val="en-NZ"/>
              </w:rPr>
            </w:pPr>
            <w:r w:rsidRPr="00A516C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6C0" w:rsidP="00A516C0">
            <w:pPr>
              <w:pStyle w:val="BodyText"/>
            </w:pPr>
            <w:r w:rsidRPr="00A516C0">
              <w:t>New unit of competency.</w:t>
            </w:r>
          </w:p>
        </w:tc>
      </w:tr>
    </w:tbl>
    <w:p w:rsidR="00000000" w:rsidRPr="00A516C0" w:rsidP="00A516C0">
      <w:pPr>
        <w:pStyle w:val="BodyText"/>
      </w:pPr>
    </w:p>
    <w:p w:rsidR="00000000" w:rsidRPr="00A516C0" w:rsidP="00A516C0">
      <w:pPr>
        <w:pStyle w:val="AllowPageBreak"/>
      </w:pPr>
    </w:p>
    <w:p w:rsidR="00000000" w:rsidRPr="00A516C0" w:rsidP="00A516C0">
      <w:pPr>
        <w:pStyle w:val="Heading1"/>
      </w:pPr>
      <w:bookmarkStart w:id="2" w:name="O_804173"/>
      <w:bookmarkEnd w:id="2"/>
      <w:r w:rsidRPr="00A516C0">
        <w:t>Application</w:t>
      </w:r>
    </w:p>
    <w:p w:rsidR="00000000" w:rsidRPr="00A516C0" w:rsidP="008B31DC">
      <w:pPr>
        <w:pStyle w:val="BodyText"/>
      </w:pPr>
      <w:r w:rsidRPr="00A516C0">
        <w:t>This unit describes the performance outcomes required to colour match paints using original equipment manufacturer (OEM) paint codes. It involves preparing for the task, selecting and using specialist tools and equipment, preparing colour matching test car</w:t>
      </w:r>
      <w:r w:rsidRPr="00A516C0">
        <w:t>ds, mixing and spraying paint and conducting a visual colour match, and completing workplace processes and documentation.</w:t>
      </w:r>
    </w:p>
    <w:p w:rsidR="00000000" w:rsidRPr="00A516C0" w:rsidP="008B31DC">
      <w:pPr>
        <w:pStyle w:val="BodyText"/>
      </w:pPr>
      <w:r w:rsidRPr="00A516C0">
        <w:t>It applies to those working in the automotive paint refinishing repair industry.</w:t>
      </w:r>
    </w:p>
    <w:p w:rsidR="00000000" w:rsidRPr="00A516C0" w:rsidP="008B31DC">
      <w:pPr>
        <w:pStyle w:val="BodyText"/>
      </w:pPr>
      <w:r w:rsidRPr="00A516C0">
        <w:t>No licensing, legislative, regulatory or certificat</w:t>
      </w:r>
      <w:r w:rsidRPr="00A516C0">
        <w:t>ion requirements apply to this unit at the time of publication.</w:t>
      </w:r>
    </w:p>
    <w:p w:rsidR="00000000" w:rsidRPr="00A516C0" w:rsidP="00A516C0">
      <w:pPr>
        <w:pStyle w:val="Heading1"/>
      </w:pPr>
      <w:bookmarkStart w:id="3" w:name="O_804175"/>
      <w:bookmarkEnd w:id="3"/>
      <w:r w:rsidRPr="00A516C0">
        <w:t>Competency Field</w:t>
      </w:r>
    </w:p>
    <w:p w:rsidR="00000000" w:rsidRPr="00A516C0" w:rsidP="008B31DC">
      <w:pPr>
        <w:pStyle w:val="BodyText"/>
      </w:pPr>
      <w:r w:rsidRPr="00A516C0">
        <w:t>Vehicle Body</w:t>
      </w:r>
    </w:p>
    <w:p w:rsidR="00000000" w:rsidRPr="00A516C0" w:rsidP="00A516C0">
      <w:pPr>
        <w:pStyle w:val="Heading1"/>
      </w:pPr>
      <w:bookmarkStart w:id="4" w:name="O_804176"/>
      <w:bookmarkEnd w:id="4"/>
      <w:r w:rsidRPr="00A516C0">
        <w:t>Unit Sector</w:t>
      </w:r>
    </w:p>
    <w:p w:rsidR="00000000" w:rsidRPr="00A516C0" w:rsidP="008B31DC">
      <w:pPr>
        <w:pStyle w:val="BodyText"/>
      </w:pPr>
      <w:r w:rsidRPr="00A516C0">
        <w:t>Technical - Paint</w:t>
      </w:r>
    </w:p>
    <w:p w:rsidR="00000000" w:rsidRPr="00A516C0" w:rsidP="00A516C0">
      <w:pPr>
        <w:pStyle w:val="Heading1"/>
      </w:pPr>
      <w:bookmarkStart w:id="5" w:name="O_804177"/>
      <w:bookmarkEnd w:id="5"/>
      <w:r w:rsidRPr="00A516C0">
        <w:t>Elements and Performance Criteria</w:t>
      </w:r>
    </w:p>
    <w:tbl>
      <w:tblPr>
        <w:tblW w:w="9639" w:type="dxa"/>
        <w:tblLayout w:type="fixed"/>
        <w:tblCellMar>
          <w:left w:w="62" w:type="dxa"/>
          <w:right w:w="62" w:type="dxa"/>
        </w:tblCellMar>
        <w:tblLook w:val="0000"/>
      </w:tblPr>
      <w:tblGrid>
        <w:gridCol w:w="2835"/>
        <w:gridCol w:w="6804"/>
      </w:tblGrid>
      <w:tr w:rsidTr="00A516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BodyText"/>
            </w:pPr>
            <w:r w:rsidRPr="00A516C0">
              <w:rPr>
                <w:rStyle w:val="SpecialBold"/>
              </w:rPr>
              <w:t>Elements</w:t>
            </w:r>
          </w:p>
          <w:p w:rsidR="00000000" w:rsidRPr="00A516C0" w:rsidP="00A516C0">
            <w:pPr>
              <w:pStyle w:val="BodyText"/>
            </w:pPr>
            <w:r w:rsidRPr="00A516C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BodyText"/>
            </w:pPr>
            <w:r w:rsidRPr="00A516C0">
              <w:rPr>
                <w:rStyle w:val="SpecialBold"/>
              </w:rPr>
              <w:t>Performance Criteria</w:t>
            </w:r>
          </w:p>
          <w:p w:rsidR="00000000" w:rsidP="00A516C0">
            <w:pPr>
              <w:pStyle w:val="BodyText"/>
              <w:rPr>
                <w:lang w:val="en-NZ"/>
              </w:rPr>
            </w:pPr>
            <w:r w:rsidRPr="00A516C0">
              <w:t>Performance criteria describe the performance needed to demonstrate achievement of the element. Where bold and italicised text is used, further information is detailed in the range of condition</w:t>
            </w:r>
            <w:r w:rsidRPr="00A516C0">
              <w:t>s section.</w:t>
            </w:r>
          </w:p>
        </w:tc>
      </w:tr>
      <w:tr w:rsidTr="00A516C0">
        <w:tblPrEx>
          <w:tblW w:w="9639" w:type="dxa"/>
          <w:tblLayout w:type="fixed"/>
          <w:tblCellMar>
            <w:left w:w="62" w:type="dxa"/>
            <w:right w:w="62" w:type="dxa"/>
          </w:tblCellMar>
          <w:tblLook w:val="0000"/>
        </w:tblPrEx>
        <w:trPr>
          <w:trHeight w:val="2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List"/>
              <w:rPr>
                <w:lang w:val="en-NZ"/>
              </w:rPr>
            </w:pPr>
            <w:r w:rsidRPr="00A516C0">
              <w:t>1.</w:t>
            </w:r>
            <w:r w:rsidRPr="00A516C0">
              <w:tab/>
              <w:t>Prepare to apply basic colour matching techniques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
            </w:pPr>
            <w:r w:rsidRPr="00A516C0">
              <w:t>1.1</w:t>
            </w:r>
            <w:r w:rsidRPr="00A516C0">
              <w:tab/>
              <w:t>Job requirements are determined from workplace instructions</w:t>
            </w:r>
          </w:p>
          <w:p w:rsidR="00000000" w:rsidRPr="00A516C0" w:rsidP="00A516C0">
            <w:pPr>
              <w:pStyle w:val="List"/>
            </w:pPr>
            <w:r w:rsidRPr="00A516C0">
              <w:t>1.2</w:t>
            </w:r>
            <w:r w:rsidRPr="00A516C0">
              <w:tab/>
            </w:r>
            <w:r w:rsidRPr="00A516C0">
              <w:rPr>
                <w:rStyle w:val="BoldandItalics"/>
              </w:rPr>
              <w:t>Colour matching information</w:t>
            </w:r>
            <w:r w:rsidRPr="00A516C0">
              <w:t xml:space="preserve"> is accessed and interpreted</w:t>
            </w:r>
          </w:p>
          <w:p w:rsidR="00000000" w:rsidRPr="00A516C0" w:rsidP="00A516C0">
            <w:pPr>
              <w:pStyle w:val="List"/>
            </w:pPr>
            <w:r w:rsidRPr="00A516C0">
              <w:t>1.3</w:t>
            </w:r>
            <w:r w:rsidRPr="00A516C0">
              <w:tab/>
              <w:t>Paint colour matching</w:t>
            </w:r>
            <w:r w:rsidRPr="00A516C0">
              <w:rPr>
                <w:rStyle w:val="BoldandItalics"/>
              </w:rPr>
              <w:t xml:space="preserve"> materials</w:t>
            </w:r>
            <w:r w:rsidRPr="00A516C0">
              <w:t xml:space="preserve"> are selected and inspected for </w:t>
            </w:r>
            <w:r w:rsidRPr="00A516C0">
              <w:t>quality</w:t>
            </w:r>
          </w:p>
          <w:p w:rsidR="00000000" w:rsidRPr="00A516C0" w:rsidP="00A516C0">
            <w:pPr>
              <w:pStyle w:val="List"/>
            </w:pPr>
            <w:r w:rsidRPr="00A516C0">
              <w:t>1.4</w:t>
            </w:r>
            <w:r w:rsidRPr="00A516C0">
              <w:tab/>
              <w:t>Hazards associated with the work are identified and risks are managed</w:t>
            </w:r>
          </w:p>
          <w:p w:rsidR="00000000" w:rsidRPr="00A516C0" w:rsidP="00A516C0">
            <w:pPr>
              <w:pStyle w:val="List"/>
            </w:pPr>
            <w:r w:rsidRPr="00A516C0">
              <w:t>1.5</w:t>
            </w:r>
            <w:r w:rsidRPr="00A516C0">
              <w:tab/>
              <w:t xml:space="preserve">Spray painting </w:t>
            </w:r>
            <w:r w:rsidRPr="00A516C0">
              <w:rPr>
                <w:rStyle w:val="BoldandItalics"/>
              </w:rPr>
              <w:t>tools and equipment</w:t>
            </w:r>
            <w:r w:rsidRPr="00A516C0">
              <w:t xml:space="preserve"> and personal protective equipment (PPE) are selected and checked for serviceability</w:t>
            </w:r>
          </w:p>
          <w:p w:rsidR="00000000" w:rsidP="00A516C0">
            <w:pPr>
              <w:pStyle w:val="List"/>
              <w:rPr>
                <w:lang w:val="en-NZ"/>
              </w:rPr>
            </w:pPr>
            <w:r w:rsidRPr="00A516C0">
              <w:t>1.6</w:t>
            </w:r>
            <w:r w:rsidRPr="00A516C0">
              <w:tab/>
              <w:t>Work is planned to identify colour matching tec</w:t>
            </w:r>
            <w:r w:rsidRPr="00A516C0">
              <w:t>hniques, minimise waste, and use time efficiently</w:t>
            </w:r>
          </w:p>
        </w:tc>
      </w:tr>
      <w:tr w:rsidTr="00A516C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List"/>
              <w:rPr>
                <w:lang w:val="en-NZ"/>
              </w:rPr>
            </w:pPr>
            <w:r w:rsidRPr="00A516C0">
              <w:t>2.</w:t>
            </w:r>
            <w:r w:rsidRPr="00A516C0">
              <w:tab/>
              <w:t xml:space="preserve">Mix paint colour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
            </w:pPr>
            <w:r w:rsidRPr="00A516C0">
              <w:t>2.1</w:t>
            </w:r>
            <w:r w:rsidRPr="00A516C0">
              <w:tab/>
              <w:t>Paint measuring system required for job is set up and checked</w:t>
            </w:r>
          </w:p>
          <w:p w:rsidR="00000000" w:rsidRPr="00A516C0" w:rsidP="00A516C0">
            <w:pPr>
              <w:pStyle w:val="List"/>
            </w:pPr>
            <w:r w:rsidRPr="00A516C0">
              <w:t>2.2</w:t>
            </w:r>
            <w:r w:rsidRPr="00A516C0">
              <w:tab/>
              <w:t xml:space="preserve">Colours are mixed using approved </w:t>
            </w:r>
            <w:r w:rsidRPr="00A516C0">
              <w:rPr>
                <w:rStyle w:val="BoldandItalics"/>
              </w:rPr>
              <w:t>methods</w:t>
            </w:r>
            <w:r w:rsidRPr="00A516C0">
              <w:t>, tools, equipment and materials, and without causing damage to vehicle and components</w:t>
            </w:r>
          </w:p>
          <w:p w:rsidR="00000000" w:rsidP="00A516C0">
            <w:pPr>
              <w:pStyle w:val="List"/>
              <w:rPr>
                <w:lang w:val="en-NZ"/>
              </w:rPr>
            </w:pPr>
            <w:r w:rsidRPr="00A516C0">
              <w:t>2.3</w:t>
            </w:r>
            <w:r w:rsidRPr="00A516C0">
              <w:tab/>
              <w:t xml:space="preserve">Mixing activities are completed according to workplace procedures, paint safety data sheets (SDS), and </w:t>
            </w:r>
            <w:r w:rsidRPr="00A516C0">
              <w:rPr>
                <w:rStyle w:val="BoldandItalics"/>
              </w:rPr>
              <w:t>safety and environmental requirements</w:t>
            </w:r>
          </w:p>
        </w:tc>
      </w:tr>
      <w:tr w:rsidTr="00A516C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List"/>
              <w:rPr>
                <w:lang w:val="en-NZ"/>
              </w:rPr>
            </w:pPr>
            <w:r w:rsidRPr="00A516C0">
              <w:t>3.</w:t>
            </w:r>
            <w:r w:rsidRPr="00A516C0">
              <w:tab/>
              <w:t xml:space="preserve">Prepare colour test </w:t>
            </w:r>
            <w:r w:rsidRPr="00A516C0">
              <w:t>cards and perform visual matching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
            </w:pPr>
            <w:r w:rsidRPr="00A516C0">
              <w:t>3.1</w:t>
            </w:r>
            <w:r w:rsidRPr="00A516C0">
              <w:tab/>
              <w:t>Test cards are prepared and sprayed to enable a visual comparison between matched and original paint</w:t>
            </w:r>
          </w:p>
          <w:p w:rsidR="00000000" w:rsidRPr="00A516C0" w:rsidP="00A516C0">
            <w:pPr>
              <w:pStyle w:val="List"/>
            </w:pPr>
            <w:r w:rsidRPr="00A516C0">
              <w:t>3.2</w:t>
            </w:r>
            <w:r w:rsidRPr="00A516C0">
              <w:tab/>
              <w:t>Visual matching is carried out, comparisons are made between matched and original paint, and paint codes are reco</w:t>
            </w:r>
            <w:r w:rsidRPr="00A516C0">
              <w:t>rded</w:t>
            </w:r>
          </w:p>
          <w:p w:rsidR="00000000" w:rsidRPr="00A516C0" w:rsidP="00A516C0">
            <w:pPr>
              <w:pStyle w:val="List"/>
            </w:pPr>
            <w:r w:rsidRPr="00A516C0">
              <w:t>3.3</w:t>
            </w:r>
            <w:r w:rsidRPr="00A516C0">
              <w:tab/>
              <w:t>Painting and matching activities are carried out according to workplace procedures, OEM paint codes, and safety and environmental requirements</w:t>
            </w:r>
          </w:p>
          <w:p w:rsidR="00000000" w:rsidP="00A516C0">
            <w:pPr>
              <w:pStyle w:val="List"/>
              <w:rPr>
                <w:lang w:val="en-NZ"/>
              </w:rPr>
            </w:pPr>
            <w:r w:rsidRPr="00A516C0">
              <w:t>3.4</w:t>
            </w:r>
            <w:r w:rsidRPr="00A516C0">
              <w:tab/>
              <w:t>Paint is remixed for further matching if first mix does not match original paint</w:t>
            </w:r>
          </w:p>
        </w:tc>
      </w:tr>
      <w:tr w:rsidTr="00A516C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List"/>
              <w:rPr>
                <w:lang w:val="en-NZ"/>
              </w:rPr>
            </w:pPr>
            <w:r w:rsidRPr="00A516C0">
              <w:t>4.</w:t>
            </w:r>
            <w:r w:rsidRPr="00A516C0">
              <w:tab/>
              <w:t>Complete work p</w:t>
            </w:r>
            <w:r w:rsidRPr="00A516C0">
              <w:t>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
            </w:pPr>
            <w:r w:rsidRPr="00A516C0">
              <w:t>4.1</w:t>
            </w:r>
            <w:r w:rsidRPr="00A516C0">
              <w:tab/>
              <w:t>Work area is cleaned, waste and non-recyclable materials are disposed of, and recyclable material is collected and stored</w:t>
            </w:r>
          </w:p>
          <w:p w:rsidR="00000000" w:rsidRPr="00A516C0" w:rsidP="00A516C0">
            <w:pPr>
              <w:pStyle w:val="List"/>
            </w:pPr>
            <w:r w:rsidRPr="00A516C0">
              <w:t>4.2</w:t>
            </w:r>
            <w:r w:rsidRPr="00A516C0">
              <w:tab/>
              <w:t xml:space="preserve">Final inspection is made to ensure work meets workplace expectations and matched paint colour is presented ready for </w:t>
            </w:r>
            <w:r w:rsidRPr="00A516C0">
              <w:t>use</w:t>
            </w:r>
          </w:p>
          <w:p w:rsidR="00000000" w:rsidRPr="00A516C0" w:rsidP="00A516C0">
            <w:pPr>
              <w:pStyle w:val="List"/>
            </w:pPr>
            <w:r w:rsidRPr="00A516C0">
              <w:t>4.3</w:t>
            </w:r>
            <w:r w:rsidRPr="00A516C0">
              <w:tab/>
              <w:t>Tools and equipment are checked, reported if faulty, and stored according to workplace procedures</w:t>
            </w:r>
          </w:p>
          <w:p w:rsidR="00000000" w:rsidRPr="00A516C0" w:rsidP="00A516C0">
            <w:pPr>
              <w:pStyle w:val="List"/>
            </w:pPr>
            <w:r w:rsidRPr="00A516C0">
              <w:t>4.4</w:t>
            </w:r>
            <w:r w:rsidRPr="00A516C0">
              <w:tab/>
              <w:t>Workplace documentation is processed according to workplace procedures</w:t>
            </w:r>
          </w:p>
        </w:tc>
      </w:tr>
    </w:tbl>
    <w:p w:rsidR="00000000" w:rsidRPr="00A516C0" w:rsidP="00A516C0">
      <w:pPr>
        <w:pStyle w:val="BodyText"/>
      </w:pPr>
    </w:p>
    <w:p w:rsidR="00000000" w:rsidRPr="00A516C0" w:rsidP="00A516C0">
      <w:pPr>
        <w:pStyle w:val="AllowPageBreak"/>
      </w:pPr>
    </w:p>
    <w:p w:rsidR="00000000" w:rsidRPr="00A516C0" w:rsidP="00A516C0">
      <w:pPr>
        <w:pStyle w:val="Heading1"/>
      </w:pPr>
      <w:bookmarkStart w:id="6" w:name="O_804178"/>
      <w:bookmarkEnd w:id="6"/>
      <w:r w:rsidRPr="00A516C0">
        <w:t>Foundation Skills</w:t>
      </w:r>
    </w:p>
    <w:p w:rsidR="00000000" w:rsidRPr="00A516C0" w:rsidP="008B31DC">
      <w:pPr>
        <w:pStyle w:val="BodyText"/>
      </w:pPr>
      <w:r w:rsidRPr="00A516C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BodyText"/>
            </w:pPr>
            <w:r w:rsidRPr="00A516C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rPr>
                <w:rStyle w:val="SpecialBold"/>
              </w:rPr>
              <w:t>Description</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ListBullet"/>
              <w:rPr>
                <w:lang w:val="en-NZ"/>
              </w:rPr>
            </w:pPr>
            <w:r w:rsidRPr="00A516C0">
              <w:t>locate appropriate sources of information efficien</w:t>
            </w:r>
            <w:r w:rsidRPr="00A516C0">
              <w:t>tly.</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ListBullet"/>
              <w:rPr>
                <w:lang w:val="en-NZ"/>
              </w:rPr>
            </w:pPr>
            <w:r w:rsidRPr="00A516C0">
              <w:t>legibly and accurately fill out workplace documentation.</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clarify instructions and procedures</w:t>
            </w:r>
          </w:p>
          <w:p w:rsidR="00000000" w:rsidP="00A516C0">
            <w:pPr>
              <w:pStyle w:val="ListBullet"/>
              <w:rPr>
                <w:lang w:val="en-NZ"/>
              </w:rPr>
            </w:pPr>
            <w:r w:rsidRPr="00A516C0">
              <w:t>clearly report quality issues and job outcomes.</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interpret OEM paint codes and formulas</w:t>
            </w:r>
          </w:p>
          <w:p w:rsidR="00000000" w:rsidP="00A516C0">
            <w:pPr>
              <w:pStyle w:val="ListBullet"/>
              <w:rPr>
                <w:lang w:val="en-NZ"/>
              </w:rPr>
            </w:pPr>
            <w:r w:rsidRPr="00A516C0">
              <w:t>use basic mathematical operations, including addition, subtraction, multiplication and division to, determine ratios and calculate quantities of paint and materials.</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ListBullet"/>
              <w:rPr>
                <w:lang w:val="en-NZ"/>
              </w:rPr>
            </w:pPr>
            <w:r w:rsidRPr="00A516C0">
              <w:t xml:space="preserve">plan own work </w:t>
            </w:r>
            <w:r w:rsidRPr="00A516C0">
              <w:t>requirements and prioritise actions to achieve required outcomes and ensure tasks are completed within workplace timeframes.</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use specialist paint mixing and spray painting tools and equipment.</w:t>
            </w:r>
          </w:p>
        </w:tc>
      </w:tr>
    </w:tbl>
    <w:p w:rsidR="00000000" w:rsidRPr="00A516C0" w:rsidP="00A516C0">
      <w:pPr>
        <w:pStyle w:val="BodyText"/>
      </w:pPr>
    </w:p>
    <w:p w:rsidR="00000000" w:rsidRPr="00A516C0" w:rsidP="00A516C0">
      <w:pPr>
        <w:pStyle w:val="AllowPageBreak"/>
      </w:pPr>
    </w:p>
    <w:p w:rsidR="00000000" w:rsidRPr="00A516C0" w:rsidP="00A516C0">
      <w:pPr>
        <w:pStyle w:val="Heading1"/>
      </w:pPr>
      <w:bookmarkStart w:id="7" w:name="O_804179"/>
      <w:bookmarkEnd w:id="7"/>
      <w:r w:rsidRPr="00A516C0">
        <w:t>Range of Conditions</w:t>
      </w:r>
    </w:p>
    <w:p w:rsidR="00000000" w:rsidRPr="00A516C0" w:rsidP="008B31DC">
      <w:pPr>
        <w:pStyle w:val="BodyText"/>
      </w:pPr>
      <w:r w:rsidRPr="00A516C0">
        <w:t>This section specifies work environments and conditions that may affect performance. Essential operating conditions that may be present (depending on the work situation, needs of the candidate, accessibility of the item, and local industry and regional con</w:t>
      </w:r>
      <w:r w:rsidRPr="00A516C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rPr>
                <w:rStyle w:val="BoldandItalics"/>
              </w:rPr>
              <w:t>Colour matching information</w:t>
            </w:r>
            <w:r w:rsidRPr="00A516C0">
              <w:t xml:space="preserve"> must include</w:t>
            </w:r>
            <w:r w:rsidRPr="00A516C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OEM paint codes</w:t>
            </w:r>
          </w:p>
          <w:p w:rsidR="00000000" w:rsidRPr="00A516C0" w:rsidP="00A516C0">
            <w:pPr>
              <w:pStyle w:val="ListBullet"/>
            </w:pPr>
            <w:r w:rsidRPr="00A516C0">
              <w:t>paint technical data sheets (TDS)</w:t>
            </w:r>
          </w:p>
          <w:p w:rsidR="00000000" w:rsidRPr="00A516C0" w:rsidP="00A516C0">
            <w:pPr>
              <w:pStyle w:val="ListBullet"/>
            </w:pPr>
            <w:r w:rsidRPr="00A516C0">
              <w:t>paint SDS</w:t>
            </w:r>
          </w:p>
          <w:p w:rsidR="00000000" w:rsidP="00A516C0">
            <w:pPr>
              <w:pStyle w:val="ListBullet"/>
              <w:rPr>
                <w:lang w:val="en-NZ"/>
              </w:rPr>
            </w:pPr>
            <w:r w:rsidRPr="00A516C0">
              <w:t>workplace procedures.</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rPr>
                <w:rStyle w:val="BoldandItalics"/>
              </w:rPr>
              <w:t>Materials</w:t>
            </w:r>
            <w:r w:rsidRPr="00A516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so</w:t>
            </w:r>
            <w:r w:rsidRPr="00A516C0">
              <w:t>lid colour paints</w:t>
            </w:r>
          </w:p>
          <w:p w:rsidR="00000000" w:rsidRPr="00A516C0" w:rsidP="00A516C0">
            <w:pPr>
              <w:pStyle w:val="ListBullet"/>
            </w:pPr>
            <w:r w:rsidRPr="00A516C0">
              <w:t>paint thinners</w:t>
            </w:r>
          </w:p>
          <w:p w:rsidR="00000000" w:rsidRPr="00A516C0" w:rsidP="00A516C0">
            <w:pPr>
              <w:pStyle w:val="ListBullet"/>
            </w:pPr>
            <w:r w:rsidRPr="00A516C0">
              <w:t>paint reducers</w:t>
            </w:r>
          </w:p>
          <w:p w:rsidR="00000000" w:rsidP="00A516C0">
            <w:pPr>
              <w:pStyle w:val="ListBullet"/>
              <w:rPr>
                <w:lang w:val="en-NZ"/>
              </w:rPr>
            </w:pPr>
            <w:r w:rsidRPr="00A516C0">
              <w:t>cleaning materials.</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rPr>
                <w:rStyle w:val="BoldandItalics"/>
              </w:rPr>
              <w:t>Tools and equipment</w:t>
            </w:r>
            <w:r w:rsidRPr="00A516C0">
              <w:t xml:space="preserve"> must include</w:t>
            </w:r>
            <w:r w:rsidRPr="00A516C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tinting system</w:t>
            </w:r>
          </w:p>
          <w:p w:rsidR="00000000" w:rsidRPr="00A516C0" w:rsidP="00A516C0">
            <w:pPr>
              <w:pStyle w:val="ListBullet"/>
            </w:pPr>
            <w:r w:rsidRPr="00A516C0">
              <w:t>scales</w:t>
            </w:r>
          </w:p>
          <w:p w:rsidR="00000000" w:rsidRPr="00A516C0" w:rsidP="00A516C0">
            <w:pPr>
              <w:pStyle w:val="ListBullet"/>
            </w:pPr>
            <w:r w:rsidRPr="00A516C0">
              <w:t>spray guns</w:t>
            </w:r>
          </w:p>
          <w:p w:rsidR="00000000" w:rsidRPr="00A516C0" w:rsidP="00A516C0">
            <w:pPr>
              <w:pStyle w:val="ListBullet"/>
            </w:pPr>
            <w:r w:rsidRPr="00A516C0">
              <w:t>pressure regulators</w:t>
            </w:r>
          </w:p>
          <w:p w:rsidR="00000000" w:rsidRPr="00A516C0" w:rsidP="00A516C0">
            <w:pPr>
              <w:pStyle w:val="ListBullet"/>
            </w:pPr>
            <w:r w:rsidRPr="00A516C0">
              <w:t>air compressors</w:t>
            </w:r>
          </w:p>
          <w:p w:rsidR="00000000" w:rsidRPr="00A516C0" w:rsidP="00A516C0">
            <w:pPr>
              <w:pStyle w:val="ListBullet"/>
            </w:pPr>
            <w:r w:rsidRPr="00A516C0">
              <w:t>approved spray area</w:t>
            </w:r>
          </w:p>
          <w:p w:rsidR="00000000" w:rsidRPr="00A516C0" w:rsidP="00A516C0">
            <w:pPr>
              <w:pStyle w:val="ListBullet"/>
            </w:pPr>
            <w:r w:rsidRPr="00A516C0">
              <w:t>heating and lighting systems</w:t>
            </w:r>
          </w:p>
          <w:p w:rsidR="00000000" w:rsidRPr="00A516C0" w:rsidP="00A516C0">
            <w:pPr>
              <w:pStyle w:val="ListBullet"/>
            </w:pPr>
            <w:r w:rsidRPr="00A516C0">
              <w:t>polishing and cleaning equipment</w:t>
            </w:r>
          </w:p>
          <w:p w:rsidR="00000000" w:rsidRPr="00A516C0" w:rsidP="00A516C0">
            <w:pPr>
              <w:pStyle w:val="ListBullet"/>
            </w:pPr>
            <w:r w:rsidRPr="00A516C0">
              <w:t>PPE</w:t>
            </w:r>
          </w:p>
          <w:p w:rsidR="00000000" w:rsidP="00A516C0">
            <w:pPr>
              <w:pStyle w:val="ListBullet"/>
              <w:rPr>
                <w:lang w:val="en-NZ"/>
              </w:rPr>
            </w:pPr>
            <w:r w:rsidRPr="00A516C0">
              <w:t>metal or cardboard colour matching test cards.</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rPr>
                <w:rStyle w:val="BoldandItalics"/>
              </w:rPr>
              <w:t>Methods</w:t>
            </w:r>
            <w:r w:rsidRPr="00A516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paint mixing and matching methods</w:t>
            </w:r>
          </w:p>
          <w:p w:rsidR="00000000" w:rsidRPr="00A516C0" w:rsidP="00A516C0">
            <w:pPr>
              <w:pStyle w:val="ListBullet"/>
            </w:pPr>
            <w:r w:rsidRPr="00A516C0">
              <w:t>spraying techniques</w:t>
            </w:r>
          </w:p>
          <w:p w:rsidR="00000000" w:rsidP="00A516C0">
            <w:pPr>
              <w:pStyle w:val="ListBullet"/>
              <w:rPr>
                <w:lang w:val="en-NZ"/>
              </w:rPr>
            </w:pPr>
            <w:r w:rsidRPr="00A516C0">
              <w:t>paint thinning methods.</w:t>
            </w:r>
          </w:p>
        </w:tc>
      </w:tr>
      <w:tr w:rsidTr="00A51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C0">
            <w:pPr>
              <w:pStyle w:val="BodyText"/>
              <w:rPr>
                <w:lang w:val="en-NZ"/>
              </w:rPr>
            </w:pPr>
            <w:r w:rsidRPr="00A516C0">
              <w:rPr>
                <w:rStyle w:val="BoldandItalics"/>
              </w:rPr>
              <w:t>Safety and environmental requirements</w:t>
            </w:r>
            <w:r w:rsidRPr="00A516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C0" w:rsidP="00A516C0">
            <w:pPr>
              <w:pStyle w:val="ListBullet"/>
            </w:pPr>
            <w:r w:rsidRPr="00A516C0">
              <w:t>work health and safety (WHS) and occupational health and safety (OHS) requirements, including procedures for:</w:t>
            </w:r>
          </w:p>
          <w:p w:rsidR="00000000" w:rsidRPr="00A516C0" w:rsidP="00A516C0">
            <w:pPr>
              <w:pStyle w:val="ListBullet2"/>
            </w:pPr>
            <w:r w:rsidRPr="00A516C0">
              <w:t>selecting and using PPE</w:t>
            </w:r>
          </w:p>
          <w:p w:rsidR="00000000" w:rsidRPr="00A516C0" w:rsidP="00A516C0">
            <w:pPr>
              <w:pStyle w:val="ListBullet2"/>
            </w:pPr>
            <w:r w:rsidRPr="00A516C0">
              <w:t>using TDS and SDS for paint material</w:t>
            </w:r>
          </w:p>
          <w:p w:rsidR="00000000" w:rsidRPr="00A516C0" w:rsidP="00A516C0">
            <w:pPr>
              <w:pStyle w:val="ListBullet2"/>
            </w:pPr>
            <w:r w:rsidRPr="00A516C0">
              <w:t>handling and storing paint materials</w:t>
            </w:r>
          </w:p>
          <w:p w:rsidR="00000000" w:rsidRPr="00A516C0" w:rsidP="00A516C0">
            <w:pPr>
              <w:pStyle w:val="ListBullet2"/>
            </w:pPr>
            <w:r w:rsidRPr="00A516C0">
              <w:t>using tools and equipment</w:t>
            </w:r>
          </w:p>
          <w:p w:rsidR="00000000" w:rsidRPr="00A516C0" w:rsidP="00A516C0">
            <w:pPr>
              <w:pStyle w:val="ListBullet"/>
            </w:pPr>
            <w:r w:rsidRPr="00A516C0">
              <w:t>environmental requirements, including procedures for trapping, storing and disposing of waste materials.</w:t>
            </w:r>
          </w:p>
        </w:tc>
      </w:tr>
    </w:tbl>
    <w:p w:rsidR="00000000" w:rsidRPr="00A516C0" w:rsidP="00A516C0">
      <w:pPr>
        <w:pStyle w:val="BodyText"/>
      </w:pPr>
    </w:p>
    <w:p w:rsidR="00000000" w:rsidRPr="00A516C0" w:rsidP="00A516C0">
      <w:pPr>
        <w:pStyle w:val="AllowPageBreak"/>
      </w:pPr>
    </w:p>
    <w:p w:rsidR="00000000" w:rsidRPr="00A516C0" w:rsidP="00A516C0">
      <w:pPr>
        <w:pStyle w:val="Heading1"/>
      </w:pPr>
      <w:bookmarkStart w:id="8" w:name="O_804180"/>
      <w:bookmarkEnd w:id="8"/>
      <w:r w:rsidRPr="00A516C0">
        <w:t>Unit Mapping Information</w:t>
      </w:r>
    </w:p>
    <w:p w:rsidR="00000000" w:rsidRPr="00A516C0" w:rsidP="008B31DC">
      <w:pPr>
        <w:pStyle w:val="BodyText"/>
      </w:pPr>
      <w:r w:rsidRPr="00A516C0">
        <w:t>Equivalent to AURVTP2004 Apply fundamental colour matching techniques</w:t>
      </w:r>
    </w:p>
    <w:p w:rsidR="00000000" w:rsidRPr="00A516C0" w:rsidP="00A516C0">
      <w:pPr>
        <w:pStyle w:val="Heading1"/>
      </w:pPr>
      <w:bookmarkStart w:id="9" w:name="O_804187"/>
      <w:bookmarkEnd w:id="9"/>
      <w:r w:rsidRPr="00A516C0">
        <w:t>Links</w:t>
      </w:r>
    </w:p>
    <w:p w:rsidR="00000000" w:rsidRPr="00A516C0" w:rsidP="008B31DC">
      <w:pPr>
        <w:pStyle w:val="BodyText"/>
      </w:pPr>
      <w:r w:rsidRPr="00A516C0">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50EF4">
        <w:rPr>
          <w:rStyle w:val="Hyperlink"/>
        </w:rPr>
        <w:t>https://vetnet.education.gov.au/Pages/TrainingDocs.aspx?q=b4278d82-d487-4070-a8c4-78045ec695b1</w:t>
      </w:r>
      <w:r>
        <w:fldChar w:fldCharType="end"/>
      </w:r>
    </w:p>
    <w:p w:rsidR="00000000" w:rsidRPr="00A516C0" w:rsidP="00A516C0"/>
    <w:sectPr w:rsidSect="00A516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C0" w:rsidRPr="008B31DC" w:rsidP="008B3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C" w:rsidP="00A51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31DC" w:rsidP="00A516C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B31DC" w:rsidP="00A51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6C0" w:rsidRPr="008B31DC" w:rsidP="008B31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C" w:rsidRPr="002D2AF8" w:rsidP="00A516C0">
    <w:pPr>
      <w:pStyle w:val="Header"/>
      <w:framePr w:wrap="around"/>
    </w:pPr>
    <w:r>
      <w:fldChar w:fldCharType="begin"/>
    </w:r>
    <w:r>
      <w:instrText xml:space="preserve"> TITLE   \* MERGEFORMAT </w:instrText>
    </w:r>
    <w:r>
      <w:fldChar w:fldCharType="separate"/>
    </w:r>
    <w:r>
      <w:t>AURVTP004 Apply basic colour matching techniques using vehicle paint codes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B31DC" w:rsidP="00A51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00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E6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D60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6C0"/>
    <w:pPr>
      <w:spacing w:before="360" w:after="60"/>
      <w:outlineLvl w:val="0"/>
    </w:pPr>
    <w:rPr>
      <w:sz w:val="32"/>
    </w:rPr>
  </w:style>
  <w:style w:type="paragraph" w:styleId="Heading2">
    <w:name w:val="heading 2"/>
    <w:basedOn w:val="HeadingBase"/>
    <w:next w:val="BodyText"/>
    <w:link w:val="Heading2Char"/>
    <w:qFormat/>
    <w:rsid w:val="00A516C0"/>
    <w:pPr>
      <w:keepLines/>
      <w:spacing w:before="240" w:after="120"/>
      <w:outlineLvl w:val="1"/>
    </w:pPr>
    <w:rPr>
      <w:sz w:val="28"/>
      <w:szCs w:val="40"/>
    </w:rPr>
  </w:style>
  <w:style w:type="paragraph" w:styleId="Heading3">
    <w:name w:val="heading 3"/>
    <w:basedOn w:val="HeadingBase"/>
    <w:next w:val="BodyText"/>
    <w:link w:val="Heading3Char"/>
    <w:qFormat/>
    <w:rsid w:val="00A516C0"/>
    <w:pPr>
      <w:spacing w:before="180" w:after="120"/>
      <w:outlineLvl w:val="2"/>
    </w:pPr>
    <w:rPr>
      <w:spacing w:val="-10"/>
      <w:kern w:val="32"/>
    </w:rPr>
  </w:style>
  <w:style w:type="paragraph" w:styleId="Heading4">
    <w:name w:val="heading 4"/>
    <w:basedOn w:val="HeadingBase"/>
    <w:next w:val="BodyText"/>
    <w:link w:val="Heading4Char"/>
    <w:qFormat/>
    <w:rsid w:val="00A516C0"/>
    <w:pPr>
      <w:spacing w:before="160" w:after="120"/>
      <w:outlineLvl w:val="3"/>
    </w:pPr>
    <w:rPr>
      <w:sz w:val="22"/>
    </w:rPr>
  </w:style>
  <w:style w:type="paragraph" w:styleId="Heading5">
    <w:name w:val="heading 5"/>
    <w:basedOn w:val="HeadingBase"/>
    <w:next w:val="Normal"/>
    <w:link w:val="Heading5Char"/>
    <w:qFormat/>
    <w:rsid w:val="00A516C0"/>
    <w:pPr>
      <w:spacing w:before="80"/>
      <w:outlineLvl w:val="4"/>
    </w:pPr>
    <w:rPr>
      <w:color w:val="918585"/>
      <w:sz w:val="20"/>
    </w:rPr>
  </w:style>
  <w:style w:type="paragraph" w:styleId="Heading6">
    <w:name w:val="heading 6"/>
    <w:basedOn w:val="HeadingBase"/>
    <w:next w:val="Normal"/>
    <w:link w:val="Heading6Char"/>
    <w:qFormat/>
    <w:rsid w:val="00A516C0"/>
    <w:pPr>
      <w:spacing w:before="60"/>
      <w:outlineLvl w:val="5"/>
    </w:pPr>
    <w:rPr>
      <w:color w:val="918585"/>
      <w:sz w:val="20"/>
    </w:rPr>
  </w:style>
  <w:style w:type="paragraph" w:styleId="Heading7">
    <w:name w:val="heading 7"/>
    <w:basedOn w:val="Normal"/>
    <w:next w:val="Normal"/>
    <w:link w:val="Heading7Char"/>
    <w:qFormat/>
    <w:rsid w:val="00A516C0"/>
    <w:pPr>
      <w:ind w:left="720"/>
      <w:outlineLvl w:val="6"/>
    </w:pPr>
    <w:rPr>
      <w:i/>
    </w:rPr>
  </w:style>
  <w:style w:type="paragraph" w:styleId="Heading8">
    <w:name w:val="heading 8"/>
    <w:basedOn w:val="Normal"/>
    <w:next w:val="Normal"/>
    <w:link w:val="Heading8Char"/>
    <w:qFormat/>
    <w:rsid w:val="00A516C0"/>
    <w:pPr>
      <w:ind w:left="720"/>
      <w:outlineLvl w:val="7"/>
    </w:pPr>
    <w:rPr>
      <w:i/>
    </w:rPr>
  </w:style>
  <w:style w:type="paragraph" w:styleId="Heading9">
    <w:name w:val="heading 9"/>
    <w:basedOn w:val="Normal"/>
    <w:next w:val="Normal"/>
    <w:link w:val="Heading9Char"/>
    <w:qFormat/>
    <w:rsid w:val="00A516C0"/>
    <w:pPr>
      <w:ind w:left="720"/>
      <w:outlineLvl w:val="8"/>
    </w:pPr>
    <w:rPr>
      <w:i/>
    </w:rPr>
  </w:style>
  <w:style w:type="character" w:default="1" w:styleId="DefaultParagraphFont">
    <w:name w:val="Default Paragraph Font"/>
    <w:uiPriority w:val="1"/>
    <w:unhideWhenUsed/>
    <w:rsid w:val="00A51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6C0"/>
  </w:style>
  <w:style w:type="character" w:customStyle="1" w:styleId="Heading1Char">
    <w:name w:val="Heading 1 Char"/>
    <w:basedOn w:val="DefaultParagraphFont"/>
    <w:link w:val="Heading1"/>
    <w:rsid w:val="00A516C0"/>
    <w:rPr>
      <w:rFonts w:ascii="Times New Roman" w:eastAsia="Times New Roman" w:hAnsi="Times New Roman" w:cs="Times New Roman"/>
      <w:b/>
      <w:sz w:val="32"/>
      <w:szCs w:val="20"/>
      <w:lang w:eastAsia="en-US"/>
    </w:rPr>
  </w:style>
  <w:style w:type="paragraph" w:styleId="BodyText">
    <w:name w:val="Body Text"/>
    <w:basedOn w:val="Normal"/>
    <w:link w:val="BodyTextChar"/>
    <w:rsid w:val="00A51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6C0"/>
    <w:rPr>
      <w:rFonts w:ascii="Times New Roman" w:eastAsia="Times New Roman" w:hAnsi="Times New Roman" w:cs="Times New Roman"/>
      <w:sz w:val="24"/>
      <w:lang w:eastAsia="en-US"/>
    </w:rPr>
  </w:style>
  <w:style w:type="paragraph" w:styleId="List">
    <w:name w:val="List"/>
    <w:basedOn w:val="BodyText"/>
    <w:next w:val="BodyText"/>
    <w:rsid w:val="00A516C0"/>
    <w:pPr>
      <w:tabs>
        <w:tab w:val="left" w:pos="340"/>
      </w:tabs>
      <w:spacing w:before="60" w:after="60"/>
      <w:ind w:left="340" w:hanging="340"/>
    </w:pPr>
  </w:style>
  <w:style w:type="paragraph" w:styleId="ListBullet">
    <w:name w:val="List Bullet"/>
    <w:basedOn w:val="List"/>
    <w:rsid w:val="00A516C0"/>
    <w:pPr>
      <w:numPr>
        <w:numId w:val="13"/>
      </w:numPr>
      <w:tabs>
        <w:tab w:val="clear" w:pos="340"/>
      </w:tabs>
      <w:spacing w:before="40" w:after="40"/>
    </w:pPr>
  </w:style>
  <w:style w:type="character" w:customStyle="1" w:styleId="SpecialBold">
    <w:name w:val="Special Bold"/>
    <w:basedOn w:val="DefaultParagraphFont"/>
    <w:rsid w:val="00A516C0"/>
    <w:rPr>
      <w:b/>
      <w:spacing w:val="0"/>
    </w:rPr>
  </w:style>
  <w:style w:type="paragraph" w:styleId="ListBullet2">
    <w:name w:val="List Bullet 2"/>
    <w:basedOn w:val="List2"/>
    <w:rsid w:val="00A516C0"/>
    <w:pPr>
      <w:numPr>
        <w:numId w:val="14"/>
      </w:numPr>
      <w:tabs>
        <w:tab w:val="clear" w:pos="680"/>
      </w:tabs>
    </w:pPr>
  </w:style>
  <w:style w:type="paragraph" w:customStyle="1" w:styleId="SuperHeading">
    <w:name w:val="SuperHeading"/>
    <w:basedOn w:val="Normal"/>
    <w:rsid w:val="00A516C0"/>
    <w:pPr>
      <w:spacing w:before="240" w:after="120"/>
      <w:outlineLvl w:val="0"/>
    </w:pPr>
    <w:rPr>
      <w:rFonts w:ascii="Times New Roman" w:hAnsi="Times New Roman"/>
      <w:b/>
      <w:sz w:val="32"/>
    </w:rPr>
  </w:style>
  <w:style w:type="paragraph" w:customStyle="1" w:styleId="AllowPageBreak">
    <w:name w:val="AllowPageBreak"/>
    <w:rsid w:val="00A51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16C0"/>
    <w:rPr>
      <w:b/>
      <w:i/>
      <w:u w:val="none"/>
    </w:rPr>
  </w:style>
  <w:style w:type="character" w:customStyle="1" w:styleId="Heading2Char">
    <w:name w:val="Heading 2 Char"/>
    <w:basedOn w:val="DefaultParagraphFont"/>
    <w:link w:val="Heading2"/>
    <w:rsid w:val="00A51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6C0"/>
    <w:rPr>
      <w:rFonts w:ascii="Courier New" w:eastAsia="Times New Roman" w:hAnsi="Courier New" w:cs="Times New Roman"/>
      <w:i/>
      <w:szCs w:val="20"/>
      <w:lang w:eastAsia="en-US"/>
    </w:rPr>
  </w:style>
  <w:style w:type="paragraph" w:customStyle="1" w:styleId="HeadingBase">
    <w:name w:val="Heading Base"/>
    <w:rsid w:val="00A51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6C0"/>
    <w:pPr>
      <w:tabs>
        <w:tab w:val="right" w:leader="dot" w:pos="9072"/>
      </w:tabs>
      <w:ind w:left="567"/>
    </w:pPr>
    <w:rPr>
      <w:szCs w:val="22"/>
    </w:rPr>
  </w:style>
  <w:style w:type="paragraph" w:customStyle="1" w:styleId="TOCBase">
    <w:name w:val="TOC Base"/>
    <w:rsid w:val="00A51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6C0"/>
    <w:pPr>
      <w:tabs>
        <w:tab w:val="right" w:leader="dot" w:pos="9072"/>
      </w:tabs>
      <w:spacing w:before="40" w:after="40"/>
      <w:ind w:left="284"/>
    </w:pPr>
    <w:rPr>
      <w:rFonts w:ascii="Times New Roman" w:hAnsi="Times New Roman"/>
    </w:rPr>
  </w:style>
  <w:style w:type="paragraph" w:styleId="TOC1">
    <w:name w:val="toc 1"/>
    <w:basedOn w:val="TOCBase"/>
    <w:next w:val="Normal"/>
    <w:rsid w:val="00A51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6C0"/>
    <w:rPr>
      <w:rFonts w:ascii="Times New Roman" w:eastAsia="Times New Roman" w:hAnsi="Times New Roman" w:cs="Times New Roman"/>
      <w:sz w:val="16"/>
      <w:lang w:eastAsia="en-US"/>
    </w:rPr>
  </w:style>
  <w:style w:type="paragraph" w:styleId="Title">
    <w:name w:val="Title"/>
    <w:basedOn w:val="HeadingBase"/>
    <w:link w:val="TitleChar"/>
    <w:qFormat/>
    <w:rsid w:val="00A516C0"/>
    <w:pPr>
      <w:spacing w:before="5040"/>
      <w:jc w:val="center"/>
    </w:pPr>
    <w:rPr>
      <w:sz w:val="48"/>
      <w:szCs w:val="72"/>
      <w:lang w:val="en-US"/>
    </w:rPr>
  </w:style>
  <w:style w:type="character" w:customStyle="1" w:styleId="TitleChar">
    <w:name w:val="Title Char"/>
    <w:basedOn w:val="DefaultParagraphFont"/>
    <w:link w:val="Title"/>
    <w:rsid w:val="00A51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6C0"/>
    <w:pPr>
      <w:tabs>
        <w:tab w:val="left" w:pos="3600"/>
        <w:tab w:val="left" w:pos="3958"/>
      </w:tabs>
    </w:pPr>
  </w:style>
  <w:style w:type="paragraph" w:customStyle="1" w:styleId="Note">
    <w:name w:val="Note"/>
    <w:basedOn w:val="BodyText"/>
    <w:rsid w:val="00A51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6C0"/>
    <w:pPr>
      <w:framePr w:wrap="auto" w:hAnchor="text" w:y="6049"/>
    </w:pPr>
    <w:rPr>
      <w:color w:val="000000"/>
      <w:sz w:val="40"/>
    </w:rPr>
  </w:style>
  <w:style w:type="paragraph" w:customStyle="1" w:styleId="TOCTitle">
    <w:name w:val="TOCTitle"/>
    <w:basedOn w:val="Heading1"/>
    <w:rsid w:val="00A516C0"/>
    <w:pPr>
      <w:spacing w:after="240"/>
      <w:jc w:val="center"/>
      <w:outlineLvl w:val="9"/>
    </w:pPr>
    <w:rPr>
      <w:caps/>
    </w:rPr>
  </w:style>
  <w:style w:type="paragraph" w:customStyle="1" w:styleId="Version">
    <w:name w:val="Version"/>
    <w:rsid w:val="00A51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6C0"/>
    <w:pPr>
      <w:keepNext w:val="0"/>
      <w:tabs>
        <w:tab w:val="right" w:pos="4176"/>
      </w:tabs>
      <w:ind w:left="198" w:hanging="198"/>
    </w:pPr>
    <w:rPr>
      <w:rFonts w:ascii="Garamond" w:hAnsi="Garamond"/>
    </w:rPr>
  </w:style>
  <w:style w:type="paragraph" w:styleId="IndexHeading">
    <w:name w:val="index heading"/>
    <w:basedOn w:val="Normal"/>
    <w:next w:val="Index1"/>
    <w:semiHidden/>
    <w:rsid w:val="00A516C0"/>
    <w:pPr>
      <w:spacing w:before="120" w:after="120"/>
    </w:pPr>
    <w:rPr>
      <w:rFonts w:ascii="Arial" w:hAnsi="Arial"/>
      <w:b/>
      <w:color w:val="918585"/>
      <w:sz w:val="24"/>
    </w:rPr>
  </w:style>
  <w:style w:type="paragraph" w:styleId="Header">
    <w:name w:val="header"/>
    <w:basedOn w:val="Normal"/>
    <w:link w:val="HeaderChar"/>
    <w:rsid w:val="00A51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6C0"/>
    <w:rPr>
      <w:rFonts w:ascii="Times New Roman" w:eastAsia="Times New Roman" w:hAnsi="Times New Roman" w:cs="Times New Roman"/>
      <w:sz w:val="16"/>
      <w:szCs w:val="20"/>
      <w:lang w:val="en-GB" w:eastAsia="en-US"/>
    </w:rPr>
  </w:style>
  <w:style w:type="paragraph" w:customStyle="1" w:styleId="Chapter">
    <w:name w:val="Chapter"/>
    <w:basedOn w:val="Normal"/>
    <w:rsid w:val="00A516C0"/>
    <w:pPr>
      <w:spacing w:before="240"/>
    </w:pPr>
    <w:rPr>
      <w:rFonts w:ascii="Times New Roman" w:hAnsi="Times New Roman"/>
      <w:smallCaps/>
      <w:spacing w:val="80"/>
      <w:sz w:val="28"/>
    </w:rPr>
  </w:style>
  <w:style w:type="paragraph" w:customStyle="1" w:styleId="InChapter">
    <w:name w:val="InChapter"/>
    <w:basedOn w:val="Heading3"/>
    <w:rsid w:val="00A516C0"/>
    <w:pPr>
      <w:spacing w:after="240"/>
      <w:outlineLvl w:val="9"/>
    </w:pPr>
    <w:rPr>
      <w:noProof/>
    </w:rPr>
  </w:style>
  <w:style w:type="paragraph" w:styleId="Index2">
    <w:name w:val="index 2"/>
    <w:basedOn w:val="Normal"/>
    <w:next w:val="Normal"/>
    <w:semiHidden/>
    <w:rsid w:val="00A516C0"/>
    <w:pPr>
      <w:tabs>
        <w:tab w:val="right" w:pos="4176"/>
      </w:tabs>
      <w:ind w:left="568" w:hanging="284"/>
    </w:pPr>
    <w:rPr>
      <w:rFonts w:ascii="Garamond" w:hAnsi="Garamond"/>
    </w:rPr>
  </w:style>
  <w:style w:type="paragraph" w:customStyle="1" w:styleId="Byline">
    <w:name w:val="Byline"/>
    <w:rsid w:val="00A51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6C0"/>
    <w:pPr>
      <w:tabs>
        <w:tab w:val="clear" w:pos="3600"/>
        <w:tab w:val="clear" w:pos="3958"/>
      </w:tabs>
      <w:jc w:val="right"/>
    </w:pPr>
  </w:style>
  <w:style w:type="character" w:styleId="Emphasis">
    <w:name w:val="Emphasis"/>
    <w:basedOn w:val="DefaultParagraphFont"/>
    <w:qFormat/>
    <w:rsid w:val="00A516C0"/>
    <w:rPr>
      <w:i/>
    </w:rPr>
  </w:style>
  <w:style w:type="paragraph" w:styleId="Caption">
    <w:name w:val="caption"/>
    <w:basedOn w:val="BodyText"/>
    <w:next w:val="Normal"/>
    <w:qFormat/>
    <w:rsid w:val="00A516C0"/>
    <w:pPr>
      <w:framePr w:w="2268" w:hSpace="181" w:vSpace="181" w:wrap="around" w:vAnchor="text" w:hAnchor="page" w:x="1135" w:y="285" w:anchorLock="1"/>
    </w:pPr>
    <w:rPr>
      <w:i/>
    </w:rPr>
  </w:style>
  <w:style w:type="paragraph" w:customStyle="1" w:styleId="MiniTOCTitle">
    <w:name w:val="MiniTOCTitle"/>
    <w:basedOn w:val="Heading4"/>
    <w:rsid w:val="00A516C0"/>
    <w:pPr>
      <w:spacing w:before="240"/>
      <w:outlineLvl w:val="9"/>
    </w:pPr>
    <w:rPr>
      <w:noProof/>
      <w:sz w:val="24"/>
    </w:rPr>
  </w:style>
  <w:style w:type="paragraph" w:customStyle="1" w:styleId="MiniTOCItem">
    <w:name w:val="MiniTOCItem"/>
    <w:basedOn w:val="ListBullet"/>
    <w:rsid w:val="00A516C0"/>
    <w:pPr>
      <w:numPr>
        <w:numId w:val="0"/>
      </w:numPr>
      <w:tabs>
        <w:tab w:val="right" w:leader="dot" w:pos="6521"/>
      </w:tabs>
      <w:spacing w:before="0" w:after="0"/>
    </w:pPr>
  </w:style>
  <w:style w:type="paragraph" w:customStyle="1" w:styleId="TOFTitle">
    <w:name w:val="TOFTitle"/>
    <w:basedOn w:val="TOCTitle"/>
    <w:rsid w:val="00A516C0"/>
  </w:style>
  <w:style w:type="paragraph" w:styleId="TableofFigures">
    <w:name w:val="table of figures"/>
    <w:basedOn w:val="Normal"/>
    <w:next w:val="Normal"/>
    <w:semiHidden/>
    <w:rsid w:val="00A516C0"/>
    <w:pPr>
      <w:tabs>
        <w:tab w:val="right" w:leader="dot" w:pos="9072"/>
      </w:tabs>
      <w:ind w:left="970" w:hanging="403"/>
    </w:pPr>
    <w:rPr>
      <w:rFonts w:ascii="Times New Roman" w:hAnsi="Times New Roman"/>
      <w:b/>
    </w:rPr>
  </w:style>
  <w:style w:type="paragraph" w:styleId="ListNumber">
    <w:name w:val="List Number"/>
    <w:basedOn w:val="List"/>
    <w:rsid w:val="00A516C0"/>
    <w:pPr>
      <w:numPr>
        <w:numId w:val="11"/>
      </w:numPr>
    </w:pPr>
  </w:style>
  <w:style w:type="character" w:customStyle="1" w:styleId="WingdingSymbols">
    <w:name w:val="Wingding Symbols"/>
    <w:rsid w:val="00A516C0"/>
    <w:rPr>
      <w:rFonts w:ascii="Wingdings" w:hAnsi="Wingdings"/>
    </w:rPr>
  </w:style>
  <w:style w:type="paragraph" w:customStyle="1" w:styleId="TableHeading">
    <w:name w:val="Table Heading"/>
    <w:basedOn w:val="HeadingBase"/>
    <w:rsid w:val="00A516C0"/>
    <w:pPr>
      <w:keepLines/>
      <w:pBdr>
        <w:bottom w:val="single" w:sz="6" w:space="1" w:color="918585"/>
      </w:pBdr>
      <w:spacing w:before="240"/>
    </w:pPr>
  </w:style>
  <w:style w:type="character" w:customStyle="1" w:styleId="HotSpot">
    <w:name w:val="HotSpot"/>
    <w:rsid w:val="00A516C0"/>
    <w:rPr>
      <w:color w:val="0033CC"/>
      <w:u w:val="none"/>
    </w:rPr>
  </w:style>
  <w:style w:type="paragraph" w:customStyle="1" w:styleId="BodyTextRight">
    <w:name w:val="Body Text Right"/>
    <w:basedOn w:val="BodyText"/>
    <w:rsid w:val="00A516C0"/>
    <w:pPr>
      <w:spacing w:before="0" w:after="0"/>
      <w:jc w:val="right"/>
    </w:pPr>
  </w:style>
  <w:style w:type="paragraph" w:styleId="Index3">
    <w:name w:val="index 3"/>
    <w:basedOn w:val="ListNumber2"/>
    <w:next w:val="Normal"/>
    <w:semiHidden/>
    <w:rsid w:val="00A516C0"/>
    <w:pPr>
      <w:numPr>
        <w:numId w:val="0"/>
      </w:numPr>
      <w:tabs>
        <w:tab w:val="right" w:leader="dot" w:pos="4176"/>
      </w:tabs>
    </w:pPr>
  </w:style>
  <w:style w:type="paragraph" w:styleId="ListNumber2">
    <w:name w:val="List Number 2"/>
    <w:basedOn w:val="List2"/>
    <w:rsid w:val="00A516C0"/>
    <w:pPr>
      <w:numPr>
        <w:numId w:val="10"/>
      </w:numPr>
      <w:tabs>
        <w:tab w:val="clear" w:pos="1060"/>
      </w:tabs>
    </w:pPr>
  </w:style>
  <w:style w:type="paragraph" w:customStyle="1" w:styleId="MarginNote">
    <w:name w:val="Margin Note"/>
    <w:basedOn w:val="BodyText"/>
    <w:rsid w:val="00A51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6C0"/>
    <w:rPr>
      <w:sz w:val="32"/>
    </w:rPr>
  </w:style>
  <w:style w:type="paragraph" w:customStyle="1" w:styleId="HeadingProcedure">
    <w:name w:val="Heading Procedure"/>
    <w:basedOn w:val="HeadingBase"/>
    <w:next w:val="Normal"/>
    <w:rsid w:val="00A516C0"/>
    <w:pPr>
      <w:tabs>
        <w:tab w:val="left" w:pos="0"/>
      </w:tabs>
      <w:spacing w:before="120" w:after="60"/>
    </w:pPr>
    <w:rPr>
      <w:i/>
      <w:color w:val="918585"/>
      <w:sz w:val="22"/>
    </w:rPr>
  </w:style>
  <w:style w:type="paragraph" w:customStyle="1" w:styleId="TableBodyText">
    <w:name w:val="Table Body Text"/>
    <w:basedOn w:val="BodyText"/>
    <w:rsid w:val="00A516C0"/>
    <w:pPr>
      <w:spacing w:before="60" w:after="60"/>
    </w:pPr>
  </w:style>
  <w:style w:type="paragraph" w:styleId="ListContinue">
    <w:name w:val="List Continue"/>
    <w:basedOn w:val="List"/>
    <w:rsid w:val="00A516C0"/>
    <w:pPr>
      <w:ind w:firstLine="0"/>
    </w:pPr>
  </w:style>
  <w:style w:type="paragraph" w:customStyle="1" w:styleId="ListNote">
    <w:name w:val="List Note"/>
    <w:basedOn w:val="List"/>
    <w:rsid w:val="00A516C0"/>
    <w:pPr>
      <w:pBdr>
        <w:top w:val="single" w:sz="6" w:space="2" w:color="918585"/>
        <w:bottom w:val="single" w:sz="6" w:space="2" w:color="918585"/>
      </w:pBdr>
      <w:tabs>
        <w:tab w:val="left" w:pos="1021"/>
      </w:tabs>
      <w:ind w:firstLine="0"/>
    </w:pPr>
  </w:style>
  <w:style w:type="paragraph" w:customStyle="1" w:styleId="Warning">
    <w:name w:val="Warning"/>
    <w:basedOn w:val="BodyText"/>
    <w:rsid w:val="00A516C0"/>
    <w:pPr>
      <w:shd w:val="clear" w:color="auto" w:fill="D9D9D9"/>
      <w:tabs>
        <w:tab w:val="left" w:pos="992"/>
      </w:tabs>
      <w:ind w:left="119" w:right="119"/>
    </w:pPr>
    <w:rPr>
      <w:sz w:val="20"/>
    </w:rPr>
  </w:style>
  <w:style w:type="paragraph" w:customStyle="1" w:styleId="MarginIcons">
    <w:name w:val="Margin Icons"/>
    <w:basedOn w:val="BodyText"/>
    <w:rsid w:val="00A51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6C0"/>
    <w:rPr>
      <w:rFonts w:ascii="Courier New" w:hAnsi="Courier New"/>
    </w:rPr>
  </w:style>
  <w:style w:type="paragraph" w:customStyle="1" w:styleId="NoteBullet">
    <w:name w:val="Note Bullet"/>
    <w:basedOn w:val="Note"/>
    <w:rsid w:val="00A516C0"/>
    <w:pPr>
      <w:tabs>
        <w:tab w:val="clear" w:pos="680"/>
      </w:tabs>
      <w:spacing w:before="60" w:after="60"/>
    </w:pPr>
  </w:style>
  <w:style w:type="paragraph" w:customStyle="1" w:styleId="SubHeading2">
    <w:name w:val="SubHeading2"/>
    <w:basedOn w:val="HeadingBase"/>
    <w:rsid w:val="00A516C0"/>
    <w:pPr>
      <w:spacing w:before="240" w:after="60"/>
    </w:pPr>
    <w:rPr>
      <w:sz w:val="20"/>
    </w:rPr>
  </w:style>
  <w:style w:type="paragraph" w:customStyle="1" w:styleId="SubHeading1">
    <w:name w:val="SubHeading1"/>
    <w:basedOn w:val="HeadingBase"/>
    <w:rsid w:val="00A516C0"/>
    <w:pPr>
      <w:spacing w:before="240" w:after="60"/>
    </w:pPr>
    <w:rPr>
      <w:color w:val="918585"/>
      <w:sz w:val="22"/>
    </w:rPr>
  </w:style>
  <w:style w:type="paragraph" w:customStyle="1" w:styleId="SideHeading">
    <w:name w:val="Side Heading"/>
    <w:basedOn w:val="HeadingBase"/>
    <w:rsid w:val="00A51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6C0"/>
    <w:pPr>
      <w:numPr>
        <w:numId w:val="12"/>
      </w:numPr>
    </w:pPr>
  </w:style>
  <w:style w:type="paragraph" w:styleId="PlainText">
    <w:name w:val="Plain Text"/>
    <w:basedOn w:val="Normal"/>
    <w:link w:val="PlainTextChar"/>
    <w:rsid w:val="00A516C0"/>
    <w:rPr>
      <w:sz w:val="20"/>
    </w:rPr>
  </w:style>
  <w:style w:type="character" w:customStyle="1" w:styleId="PlainTextChar">
    <w:name w:val="Plain Text Char"/>
    <w:basedOn w:val="DefaultParagraphFont"/>
    <w:link w:val="PlainText"/>
    <w:rsid w:val="00A516C0"/>
    <w:rPr>
      <w:rFonts w:ascii="Courier New" w:eastAsia="Times New Roman" w:hAnsi="Courier New" w:cs="Times New Roman"/>
      <w:sz w:val="20"/>
      <w:szCs w:val="20"/>
      <w:lang w:eastAsia="en-US"/>
    </w:rPr>
  </w:style>
  <w:style w:type="character" w:customStyle="1" w:styleId="MenuOption">
    <w:name w:val="Menu Option"/>
    <w:basedOn w:val="DefaultParagraphFont"/>
    <w:rsid w:val="00A516C0"/>
    <w:rPr>
      <w:b/>
      <w:smallCaps/>
    </w:rPr>
  </w:style>
  <w:style w:type="paragraph" w:customStyle="1" w:styleId="TableListNumber">
    <w:name w:val="Table List Number"/>
    <w:basedOn w:val="ListNumber"/>
    <w:rsid w:val="00A516C0"/>
    <w:pPr>
      <w:numPr>
        <w:numId w:val="0"/>
      </w:numPr>
    </w:pPr>
  </w:style>
  <w:style w:type="paragraph" w:styleId="TOC4">
    <w:name w:val="toc 4"/>
    <w:basedOn w:val="TOCBase"/>
    <w:next w:val="Normal"/>
    <w:semiHidden/>
    <w:rsid w:val="00A516C0"/>
    <w:pPr>
      <w:tabs>
        <w:tab w:val="right" w:leader="dot" w:pos="9071"/>
      </w:tabs>
      <w:ind w:left="1701"/>
    </w:pPr>
  </w:style>
  <w:style w:type="paragraph" w:customStyle="1" w:styleId="ListAlpha">
    <w:name w:val="List Alpha"/>
    <w:basedOn w:val="List"/>
    <w:rsid w:val="00A516C0"/>
    <w:pPr>
      <w:numPr>
        <w:numId w:val="9"/>
      </w:numPr>
    </w:pPr>
  </w:style>
  <w:style w:type="paragraph" w:customStyle="1" w:styleId="ListAlpha2">
    <w:name w:val="List Alpha 2"/>
    <w:basedOn w:val="List2"/>
    <w:rsid w:val="00A516C0"/>
    <w:pPr>
      <w:numPr>
        <w:numId w:val="8"/>
      </w:numPr>
    </w:pPr>
  </w:style>
  <w:style w:type="paragraph" w:styleId="List2">
    <w:name w:val="List 2"/>
    <w:basedOn w:val="BodyText"/>
    <w:rsid w:val="00A516C0"/>
    <w:pPr>
      <w:tabs>
        <w:tab w:val="left" w:pos="680"/>
      </w:tabs>
      <w:spacing w:before="60" w:after="60"/>
      <w:ind w:left="680" w:hanging="340"/>
    </w:pPr>
  </w:style>
  <w:style w:type="paragraph" w:styleId="List3">
    <w:name w:val="List 3"/>
    <w:basedOn w:val="BodyText"/>
    <w:rsid w:val="00A516C0"/>
    <w:pPr>
      <w:tabs>
        <w:tab w:val="left" w:pos="1021"/>
      </w:tabs>
      <w:spacing w:before="60" w:after="60"/>
      <w:ind w:left="1020" w:hanging="340"/>
    </w:pPr>
  </w:style>
  <w:style w:type="paragraph" w:styleId="List4">
    <w:name w:val="List 4"/>
    <w:basedOn w:val="BodyText"/>
    <w:rsid w:val="00A516C0"/>
    <w:pPr>
      <w:tabs>
        <w:tab w:val="left" w:pos="1361"/>
      </w:tabs>
      <w:spacing w:before="60" w:after="60"/>
      <w:ind w:left="1361" w:hanging="340"/>
    </w:pPr>
  </w:style>
  <w:style w:type="paragraph" w:styleId="List5">
    <w:name w:val="List 5"/>
    <w:basedOn w:val="BodyText"/>
    <w:rsid w:val="00A516C0"/>
    <w:pPr>
      <w:tabs>
        <w:tab w:val="left" w:pos="1701"/>
      </w:tabs>
      <w:spacing w:before="60" w:after="60"/>
      <w:ind w:left="1701" w:hanging="340"/>
    </w:pPr>
  </w:style>
  <w:style w:type="paragraph" w:styleId="ListBullet3">
    <w:name w:val="List Bullet 3"/>
    <w:basedOn w:val="List3"/>
    <w:rsid w:val="00A516C0"/>
    <w:pPr>
      <w:numPr>
        <w:numId w:val="15"/>
      </w:numPr>
      <w:tabs>
        <w:tab w:val="clear" w:pos="1021"/>
      </w:tabs>
      <w:ind w:left="1037" w:hanging="357"/>
    </w:pPr>
  </w:style>
  <w:style w:type="paragraph" w:styleId="ListBullet4">
    <w:name w:val="List Bullet 4"/>
    <w:basedOn w:val="List4"/>
    <w:rsid w:val="00A516C0"/>
    <w:pPr>
      <w:numPr>
        <w:numId w:val="3"/>
      </w:numPr>
      <w:tabs>
        <w:tab w:val="clear" w:pos="1361"/>
      </w:tabs>
    </w:pPr>
  </w:style>
  <w:style w:type="paragraph" w:styleId="ListBullet5">
    <w:name w:val="List Bullet 5"/>
    <w:basedOn w:val="List5"/>
    <w:rsid w:val="00A516C0"/>
    <w:pPr>
      <w:numPr>
        <w:numId w:val="4"/>
      </w:numPr>
    </w:pPr>
  </w:style>
  <w:style w:type="paragraph" w:styleId="ListContinue2">
    <w:name w:val="List Continue 2"/>
    <w:basedOn w:val="List2"/>
    <w:rsid w:val="00A516C0"/>
    <w:pPr>
      <w:ind w:firstLine="0"/>
    </w:pPr>
  </w:style>
  <w:style w:type="paragraph" w:styleId="ListContinue3">
    <w:name w:val="List Continue 3"/>
    <w:basedOn w:val="List3"/>
    <w:rsid w:val="00A516C0"/>
    <w:pPr>
      <w:ind w:left="1021" w:firstLine="0"/>
    </w:pPr>
  </w:style>
  <w:style w:type="paragraph" w:styleId="ListContinue4">
    <w:name w:val="List Continue 4"/>
    <w:basedOn w:val="List4"/>
    <w:rsid w:val="00A516C0"/>
    <w:pPr>
      <w:ind w:firstLine="0"/>
    </w:pPr>
  </w:style>
  <w:style w:type="paragraph" w:styleId="ListContinue5">
    <w:name w:val="List Continue 5"/>
    <w:basedOn w:val="List5"/>
    <w:rsid w:val="00A516C0"/>
    <w:pPr>
      <w:ind w:firstLine="0"/>
    </w:pPr>
  </w:style>
  <w:style w:type="paragraph" w:styleId="ListNumber3">
    <w:name w:val="List Number 3"/>
    <w:basedOn w:val="List3"/>
    <w:rsid w:val="00A516C0"/>
    <w:pPr>
      <w:numPr>
        <w:numId w:val="5"/>
      </w:numPr>
    </w:pPr>
  </w:style>
  <w:style w:type="paragraph" w:styleId="ListNumber4">
    <w:name w:val="List Number 4"/>
    <w:basedOn w:val="List4"/>
    <w:rsid w:val="00A516C0"/>
    <w:pPr>
      <w:numPr>
        <w:numId w:val="6"/>
      </w:numPr>
    </w:pPr>
  </w:style>
  <w:style w:type="paragraph" w:styleId="ListNumber5">
    <w:name w:val="List Number 5"/>
    <w:basedOn w:val="List5"/>
    <w:rsid w:val="00A516C0"/>
    <w:pPr>
      <w:numPr>
        <w:numId w:val="7"/>
      </w:numPr>
    </w:pPr>
  </w:style>
  <w:style w:type="paragraph" w:styleId="BlockText">
    <w:name w:val="Block Text"/>
    <w:basedOn w:val="Normal"/>
    <w:rsid w:val="00A516C0"/>
    <w:pPr>
      <w:spacing w:after="120"/>
      <w:ind w:left="1440" w:right="1440"/>
    </w:pPr>
  </w:style>
  <w:style w:type="character" w:customStyle="1" w:styleId="Subscript">
    <w:name w:val="Subscript"/>
    <w:basedOn w:val="DefaultParagraphFont"/>
    <w:rsid w:val="00A516C0"/>
    <w:rPr>
      <w:sz w:val="16"/>
      <w:vertAlign w:val="subscript"/>
    </w:rPr>
  </w:style>
  <w:style w:type="character" w:customStyle="1" w:styleId="Superscript">
    <w:name w:val="Superscript"/>
    <w:basedOn w:val="DefaultParagraphFont"/>
    <w:rsid w:val="00A516C0"/>
    <w:rPr>
      <w:sz w:val="16"/>
      <w:vertAlign w:val="superscript"/>
    </w:rPr>
  </w:style>
  <w:style w:type="character" w:customStyle="1" w:styleId="Symbols">
    <w:name w:val="Symbols"/>
    <w:basedOn w:val="DefaultParagraphFont"/>
    <w:rsid w:val="00A516C0"/>
    <w:rPr>
      <w:rFonts w:ascii="Symbol" w:hAnsi="Symbol"/>
    </w:rPr>
  </w:style>
  <w:style w:type="character" w:customStyle="1" w:styleId="MenuOptions">
    <w:name w:val="Menu Options"/>
    <w:basedOn w:val="DefaultParagraphFont"/>
    <w:rsid w:val="00A516C0"/>
    <w:rPr>
      <w:rFonts w:ascii="Arial Narrow" w:hAnsi="Arial Narrow"/>
      <w:smallCaps/>
    </w:rPr>
  </w:style>
  <w:style w:type="character" w:customStyle="1" w:styleId="Buttons">
    <w:name w:val="Buttons"/>
    <w:basedOn w:val="DefaultParagraphFont"/>
    <w:rsid w:val="00A516C0"/>
    <w:rPr>
      <w:b/>
    </w:rPr>
  </w:style>
  <w:style w:type="character" w:customStyle="1" w:styleId="Underlined">
    <w:name w:val="Underlined"/>
    <w:basedOn w:val="DefaultParagraphFont"/>
    <w:rsid w:val="00A516C0"/>
    <w:rPr>
      <w:u w:val="single"/>
    </w:rPr>
  </w:style>
  <w:style w:type="paragraph" w:customStyle="1" w:styleId="TableBodyTextRight">
    <w:name w:val="Table Body Text Right"/>
    <w:basedOn w:val="TableBodyText"/>
    <w:rsid w:val="00A516C0"/>
    <w:pPr>
      <w:widowControl w:val="0"/>
      <w:autoSpaceDE w:val="0"/>
      <w:autoSpaceDN w:val="0"/>
      <w:adjustRightInd w:val="0"/>
      <w:jc w:val="right"/>
    </w:pPr>
    <w:rPr>
      <w:rFonts w:cs="Arial"/>
      <w:szCs w:val="18"/>
    </w:rPr>
  </w:style>
  <w:style w:type="paragraph" w:customStyle="1" w:styleId="CopyrightText">
    <w:name w:val="Copyright Text"/>
    <w:basedOn w:val="BodyText"/>
    <w:rsid w:val="00A516C0"/>
    <w:rPr>
      <w:sz w:val="18"/>
    </w:rPr>
  </w:style>
  <w:style w:type="paragraph" w:customStyle="1" w:styleId="BodySmallRight">
    <w:name w:val="Body Small Right"/>
    <w:basedOn w:val="BodyTextRight"/>
    <w:rsid w:val="00A516C0"/>
    <w:rPr>
      <w:sz w:val="18"/>
      <w:szCs w:val="18"/>
    </w:rPr>
  </w:style>
  <w:style w:type="paragraph" w:customStyle="1" w:styleId="MarginEdition">
    <w:name w:val="Margin Edition"/>
    <w:basedOn w:val="MarginNote"/>
    <w:rsid w:val="00A516C0"/>
    <w:pPr>
      <w:spacing w:before="0" w:after="0"/>
    </w:pPr>
    <w:rPr>
      <w:rFonts w:ascii="Times New Roman" w:hAnsi="Times New Roman"/>
      <w:color w:val="999999"/>
    </w:rPr>
  </w:style>
  <w:style w:type="paragraph" w:customStyle="1" w:styleId="Spacer">
    <w:name w:val="Spacer"/>
    <w:basedOn w:val="Normal"/>
    <w:rsid w:val="00A516C0"/>
    <w:rPr>
      <w:sz w:val="2"/>
      <w:szCs w:val="2"/>
    </w:rPr>
  </w:style>
  <w:style w:type="character" w:customStyle="1" w:styleId="Small">
    <w:name w:val="Small"/>
    <w:basedOn w:val="DefaultParagraphFont"/>
    <w:rsid w:val="00A516C0"/>
    <w:rPr>
      <w:sz w:val="16"/>
    </w:rPr>
  </w:style>
  <w:style w:type="paragraph" w:customStyle="1" w:styleId="WideTable">
    <w:name w:val="Wide Table"/>
    <w:basedOn w:val="Normal"/>
    <w:rsid w:val="00A516C0"/>
    <w:pPr>
      <w:ind w:left="-1418"/>
    </w:pPr>
    <w:rPr>
      <w:sz w:val="2"/>
      <w:szCs w:val="2"/>
    </w:rPr>
  </w:style>
  <w:style w:type="character" w:styleId="PageNumber">
    <w:name w:val="page number"/>
    <w:basedOn w:val="DefaultParagraphFont"/>
    <w:rsid w:val="00A516C0"/>
  </w:style>
  <w:style w:type="paragraph" w:styleId="Quote">
    <w:name w:val="Quote"/>
    <w:basedOn w:val="Heading1"/>
    <w:link w:val="QuoteChar"/>
    <w:qFormat/>
    <w:rsid w:val="00A516C0"/>
    <w:rPr>
      <w:b w:val="0"/>
      <w:sz w:val="72"/>
      <w:szCs w:val="72"/>
      <w:lang w:val="en-NZ"/>
    </w:rPr>
  </w:style>
  <w:style w:type="character" w:customStyle="1" w:styleId="QuoteChar">
    <w:name w:val="Quote Char"/>
    <w:basedOn w:val="DefaultParagraphFont"/>
    <w:link w:val="Quote"/>
    <w:rsid w:val="00A51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6C0"/>
    <w:pPr>
      <w:pageBreakBefore/>
    </w:pPr>
  </w:style>
  <w:style w:type="paragraph" w:customStyle="1" w:styleId="Border">
    <w:name w:val="Border"/>
    <w:basedOn w:val="Normal"/>
    <w:qFormat/>
    <w:rsid w:val="00A51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6C0"/>
    <w:rPr>
      <w:b/>
      <w:bCs/>
      <w:i/>
      <w:iCs/>
      <w:color w:val="auto"/>
    </w:rPr>
  </w:style>
  <w:style w:type="paragraph" w:styleId="IntenseQuote">
    <w:name w:val="Intense Quote"/>
    <w:basedOn w:val="Normal"/>
    <w:next w:val="Normal"/>
    <w:link w:val="IntenseQuoteChar"/>
    <w:uiPriority w:val="30"/>
    <w:qFormat/>
    <w:rsid w:val="00A51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6C0"/>
    <w:rPr>
      <w:smallCaps/>
      <w:color w:val="auto"/>
      <w:u w:val="single"/>
    </w:rPr>
  </w:style>
  <w:style w:type="character" w:styleId="IntenseReference">
    <w:name w:val="Intense Reference"/>
    <w:basedOn w:val="DefaultParagraphFont"/>
    <w:uiPriority w:val="32"/>
    <w:qFormat/>
    <w:rsid w:val="00A516C0"/>
    <w:rPr>
      <w:b/>
      <w:bCs/>
      <w:smallCaps/>
      <w:color w:val="auto"/>
      <w:spacing w:val="5"/>
      <w:u w:val="single"/>
    </w:rPr>
  </w:style>
  <w:style w:type="paragraph" w:customStyle="1" w:styleId="2ColumnHeading">
    <w:name w:val="2Column Heading"/>
    <w:basedOn w:val="BodyText"/>
    <w:qFormat/>
    <w:rsid w:val="00A516C0"/>
    <w:pPr>
      <w:spacing w:after="60"/>
      <w:ind w:left="-2268"/>
    </w:pPr>
    <w:rPr>
      <w:b/>
    </w:rPr>
  </w:style>
  <w:style w:type="paragraph" w:customStyle="1" w:styleId="Heading1TOC">
    <w:name w:val="Heading1 TOC"/>
    <w:basedOn w:val="Normal"/>
    <w:qFormat/>
    <w:rsid w:val="00A516C0"/>
    <w:pPr>
      <w:spacing w:before="240" w:after="120"/>
    </w:pPr>
    <w:rPr>
      <w:rFonts w:ascii="Times New Roman" w:hAnsi="Times New Roman"/>
      <w:b/>
      <w:sz w:val="32"/>
    </w:rPr>
  </w:style>
  <w:style w:type="paragraph" w:customStyle="1" w:styleId="Heading2TOC">
    <w:name w:val="Heading2 TOC"/>
    <w:basedOn w:val="Normal"/>
    <w:qFormat/>
    <w:rsid w:val="00A516C0"/>
    <w:pPr>
      <w:spacing w:before="240" w:after="60"/>
    </w:pPr>
    <w:rPr>
      <w:rFonts w:ascii="Times New Roman" w:hAnsi="Times New Roman"/>
      <w:b/>
      <w:sz w:val="28"/>
    </w:rPr>
  </w:style>
  <w:style w:type="character" w:customStyle="1" w:styleId="Underline">
    <w:name w:val="Underline"/>
    <w:basedOn w:val="DefaultParagraphFont"/>
    <w:qFormat/>
    <w:rsid w:val="00A516C0"/>
    <w:rPr>
      <w:u w:val="single"/>
    </w:rPr>
  </w:style>
  <w:style w:type="paragraph" w:styleId="BalloonText">
    <w:name w:val="Balloon Text"/>
    <w:basedOn w:val="Normal"/>
    <w:link w:val="BalloonTextChar"/>
    <w:rsid w:val="00A516C0"/>
    <w:rPr>
      <w:rFonts w:ascii="Tahoma" w:hAnsi="Tahoma" w:cs="Tahoma"/>
      <w:sz w:val="16"/>
      <w:szCs w:val="16"/>
    </w:rPr>
  </w:style>
  <w:style w:type="character" w:customStyle="1" w:styleId="BalloonTextChar">
    <w:name w:val="Balloon Text Char"/>
    <w:basedOn w:val="DefaultParagraphFont"/>
    <w:link w:val="BalloonText"/>
    <w:rsid w:val="00A51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6C0"/>
    <w:rPr>
      <w:b/>
      <w:color w:val="660033"/>
      <w:spacing w:val="0"/>
    </w:rPr>
  </w:style>
  <w:style w:type="paragraph" w:customStyle="1" w:styleId="Nameditemlist">
    <w:name w:val="Named item list"/>
    <w:basedOn w:val="BodyText"/>
    <w:qFormat/>
    <w:rsid w:val="00A516C0"/>
    <w:pPr>
      <w:tabs>
        <w:tab w:val="left" w:pos="2835"/>
      </w:tabs>
      <w:ind w:left="2835" w:hanging="2835"/>
    </w:pPr>
  </w:style>
  <w:style w:type="paragraph" w:customStyle="1" w:styleId="BodyTextnopadding">
    <w:name w:val="Body Text no padding"/>
    <w:basedOn w:val="BodyText"/>
    <w:qFormat/>
    <w:rsid w:val="00A516C0"/>
    <w:pPr>
      <w:spacing w:before="0" w:after="0"/>
    </w:pPr>
  </w:style>
  <w:style w:type="character" w:styleId="Hyperlink">
    <w:name w:val="Hyperlink"/>
    <w:basedOn w:val="DefaultParagraphFont"/>
    <w:uiPriority w:val="99"/>
    <w:unhideWhenUsed/>
    <w:rsid w:val="008B31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5017</Characters>
  <Application>Microsoft Office Word</Application>
  <DocSecurity>0</DocSecurity>
  <Lines>173</Lines>
  <Paragraphs>116</Paragraphs>
  <ScaleCrop>false</ScaleCrop>
  <Company>Author-it Software Corporation Ltd.</Company>
  <LinksUpToDate>false</LinksUpToDate>
  <CharactersWithSpaces>5699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AURVTP004 Apply basic colour matching techniques using vehicle paint codes</dc:title>
  <dc:subject>Approved</dc:subject>
  <dc:creator>PwC’s Skills for Australia</dc:creator>
  <cp:keywords>Release: 1</cp:keywords>
  <dc:description>Review Date: 12 April 2008</dc:description>
  <cp:lastModifiedBy>HSD_TPCMSd.prod</cp:lastModifiedBy>
  <cp:revision>3</cp:revision>
  <dcterms:created xsi:type="dcterms:W3CDTF">2018-12-07T01:29:00Z</dcterms:created>
  <dcterms:modified xsi:type="dcterms:W3CDTF">2018-12-07T01:29:00Z</dcterms:modified>
</cp:coreProperties>
</file>