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53E" w:rsidP="00097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AURVTN113 Carry out paint-less dent repairs on vehicle body panels</w:t>
      </w:r>
      <w:r>
        <w:fldChar w:fldCharType="end"/>
      </w:r>
    </w:p>
    <w:p w:rsidR="0009753E" w:rsidP="0009753E">
      <w:pPr>
        <w:pStyle w:val="Version"/>
        <w:sectPr w:rsidSect="00E842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426B" w:rsidP="00E8426B">
      <w:pPr>
        <w:pStyle w:val="SuperHeading"/>
      </w:pPr>
      <w:r w:rsidRPr="00E8426B">
        <w:t>Assessment Requirements for AURVTN113 Carry out paint-less dent repairs on vehicle body panels</w:t>
      </w:r>
    </w:p>
    <w:p w:rsidR="00000000" w:rsidRPr="00E8426B" w:rsidP="00E8426B">
      <w:pPr>
        <w:pStyle w:val="Heading1"/>
      </w:pPr>
      <w:bookmarkStart w:id="1" w:name="O_1129641"/>
      <w:bookmarkEnd w:id="1"/>
      <w:r w:rsidRPr="00E842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E8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26B" w:rsidP="00E8426B">
            <w:pPr>
              <w:pStyle w:val="BodyText"/>
            </w:pPr>
            <w:r w:rsidRPr="00E8426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26B">
            <w:pPr>
              <w:pStyle w:val="BodyText"/>
              <w:rPr>
                <w:lang w:val="en-NZ"/>
              </w:rPr>
            </w:pPr>
            <w:r w:rsidRPr="00E8426B">
              <w:rPr>
                <w:rStyle w:val="SpecialBold"/>
              </w:rPr>
              <w:t>Comments</w:t>
            </w:r>
          </w:p>
        </w:tc>
      </w:tr>
      <w:tr w:rsidTr="00E84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426B">
            <w:pPr>
              <w:pStyle w:val="BodyText"/>
              <w:rPr>
                <w:lang w:val="en-NZ"/>
              </w:rPr>
            </w:pPr>
            <w:r w:rsidRPr="00E8426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426B" w:rsidP="00E8426B">
            <w:pPr>
              <w:pStyle w:val="BodyText"/>
            </w:pPr>
            <w:r w:rsidRPr="00E8426B">
              <w:t>This version first released with AUR Automotive Retail</w:t>
            </w:r>
            <w:r w:rsidRPr="00E8426B">
              <w:t>, Service and Repair Training Package Version 6.0</w:t>
            </w:r>
          </w:p>
        </w:tc>
      </w:tr>
    </w:tbl>
    <w:p w:rsidR="00000000" w:rsidRPr="00E8426B" w:rsidP="00E8426B">
      <w:pPr>
        <w:pStyle w:val="BodyText"/>
      </w:pPr>
    </w:p>
    <w:p w:rsidR="00000000" w:rsidRPr="00E8426B" w:rsidP="00E8426B">
      <w:pPr>
        <w:pStyle w:val="AllowPageBreak"/>
      </w:pPr>
    </w:p>
    <w:p w:rsidR="00000000" w:rsidRPr="00E8426B" w:rsidP="00E8426B">
      <w:pPr>
        <w:pStyle w:val="Heading1"/>
      </w:pPr>
      <w:bookmarkStart w:id="2" w:name="O_1129644"/>
      <w:bookmarkEnd w:id="2"/>
      <w:r w:rsidRPr="00E8426B">
        <w:t>Performance Evidence</w:t>
      </w:r>
    </w:p>
    <w:p w:rsidR="00000000" w:rsidRPr="00E8426B" w:rsidP="0009753E">
      <w:pPr>
        <w:pStyle w:val="BodyText"/>
      </w:pPr>
      <w:r w:rsidRPr="00E8426B">
        <w:t>The candidate must demonstrate the ability to complete the tasks outlined in the elements, performance criteria and foundation skills of this unit, including eviden</w:t>
      </w:r>
      <w:r w:rsidRPr="00E8426B">
        <w:t>ce of the ability to:</w:t>
      </w:r>
    </w:p>
    <w:p w:rsidR="00000000" w:rsidRPr="00E8426B" w:rsidP="00E8426B">
      <w:pPr>
        <w:pStyle w:val="ListBullet"/>
      </w:pPr>
      <w:r w:rsidRPr="00E8426B">
        <w:t>carry out paint-less dent repairs (PDR) on at least ten different vehicle body panels, in which the work for at least one repair must involve completing PDR on a panel with shallow dents to a minimum dimension of 20 mm diameter x 2 m</w:t>
      </w:r>
      <w:r w:rsidRPr="00E8426B">
        <w:t>m depth.</w:t>
      </w:r>
    </w:p>
    <w:p w:rsidR="00000000" w:rsidRPr="00E8426B" w:rsidP="00E8426B">
      <w:pPr>
        <w:pStyle w:val="AllowPageBreak"/>
      </w:pPr>
    </w:p>
    <w:p w:rsidR="00000000" w:rsidRPr="00E8426B" w:rsidP="00E8426B">
      <w:pPr>
        <w:pStyle w:val="Heading1"/>
      </w:pPr>
      <w:bookmarkStart w:id="3" w:name="O_1129643"/>
      <w:bookmarkEnd w:id="3"/>
      <w:r w:rsidRPr="00E8426B">
        <w:t>Knowledge Evidence</w:t>
      </w:r>
    </w:p>
    <w:p w:rsidR="00000000" w:rsidRPr="00E8426B" w:rsidP="0009753E">
      <w:pPr>
        <w:pStyle w:val="BodyText"/>
      </w:pPr>
      <w:r w:rsidRPr="00E8426B">
        <w:t>The candidate must be able to demonstrate knowledge to complete the tasks outlined in the elements, performance criteria and foundation skills of this unit, including knowledge of:</w:t>
      </w:r>
    </w:p>
    <w:p w:rsidR="00000000" w:rsidRPr="00E8426B" w:rsidP="00E8426B">
      <w:pPr>
        <w:pStyle w:val="ListBullet"/>
      </w:pPr>
      <w:r w:rsidRPr="00E8426B">
        <w:t>methods to locate and interpret information required to carry out paint-less dent repairs on vehicle body panels, including:</w:t>
      </w:r>
    </w:p>
    <w:p w:rsidR="00000000" w:rsidRPr="00E8426B" w:rsidP="00E8426B">
      <w:pPr>
        <w:pStyle w:val="ListBullet2"/>
      </w:pPr>
      <w:r w:rsidRPr="00E8426B">
        <w:t>information provided by customer and supervisors</w:t>
      </w:r>
    </w:p>
    <w:p w:rsidR="00000000" w:rsidRPr="00E8426B" w:rsidP="00E8426B">
      <w:pPr>
        <w:pStyle w:val="ListBullet2"/>
      </w:pPr>
      <w:r w:rsidRPr="00E8426B">
        <w:t>manufacturer specifications and procedures or equivalent documentation</w:t>
      </w:r>
    </w:p>
    <w:p w:rsidR="00000000" w:rsidRPr="00E8426B" w:rsidP="00E8426B">
      <w:pPr>
        <w:pStyle w:val="ListBullet"/>
      </w:pPr>
      <w:r w:rsidRPr="00E8426B">
        <w:t>workplace</w:t>
      </w:r>
      <w:r w:rsidRPr="00E8426B">
        <w:t xml:space="preserve"> procedures required to carry out paint-less dent repairs on vehicle body panels, including: </w:t>
      </w:r>
    </w:p>
    <w:p w:rsidR="00000000" w:rsidRPr="00E8426B" w:rsidP="00E8426B">
      <w:pPr>
        <w:pStyle w:val="ListBullet2"/>
      </w:pPr>
      <w:r w:rsidRPr="00E8426B">
        <w:t>establishing serviceability of tools and equipment</w:t>
      </w:r>
    </w:p>
    <w:p w:rsidR="00000000" w:rsidRPr="00E8426B" w:rsidP="00E8426B">
      <w:pPr>
        <w:pStyle w:val="ListBullet2"/>
      </w:pPr>
      <w:r w:rsidRPr="00E8426B">
        <w:t>documentation procedures</w:t>
      </w:r>
    </w:p>
    <w:p w:rsidR="00000000" w:rsidRPr="00E8426B" w:rsidP="00E8426B">
      <w:pPr>
        <w:pStyle w:val="ListBullet2"/>
      </w:pPr>
      <w:r w:rsidRPr="00E8426B">
        <w:t>housekeeping procedures, including:</w:t>
      </w:r>
    </w:p>
    <w:p w:rsidR="00000000" w:rsidRPr="00E8426B" w:rsidP="00E8426B">
      <w:pPr>
        <w:pStyle w:val="ListBullet3"/>
      </w:pPr>
      <w:r w:rsidRPr="00E8426B">
        <w:t>examination of tools and equipment</w:t>
      </w:r>
    </w:p>
    <w:p w:rsidR="00000000" w:rsidRPr="00E8426B" w:rsidP="00E8426B">
      <w:pPr>
        <w:pStyle w:val="ListBullet3"/>
      </w:pPr>
      <w:r w:rsidRPr="00E8426B">
        <w:t>storage of equipment</w:t>
      </w:r>
    </w:p>
    <w:p w:rsidR="00000000" w:rsidRPr="00E8426B" w:rsidP="00E8426B">
      <w:pPr>
        <w:pStyle w:val="ListBullet3"/>
      </w:pPr>
      <w:r w:rsidRPr="00E8426B">
        <w:t>identification, tagging and isolation of faulty equipment</w:t>
      </w:r>
    </w:p>
    <w:p w:rsidR="00000000" w:rsidRPr="00E8426B" w:rsidP="00E8426B">
      <w:pPr>
        <w:pStyle w:val="ListBullet3"/>
      </w:pPr>
      <w:r w:rsidRPr="00E8426B">
        <w:t>disposal of excess materials</w:t>
      </w:r>
    </w:p>
    <w:p w:rsidR="00000000" w:rsidRPr="00E8426B" w:rsidP="00E8426B">
      <w:pPr>
        <w:pStyle w:val="ListBullet3"/>
      </w:pPr>
      <w:r w:rsidRPr="00E8426B">
        <w:t>recycling procedures</w:t>
      </w:r>
    </w:p>
    <w:p w:rsidR="00000000" w:rsidRPr="00E8426B" w:rsidP="00E8426B">
      <w:pPr>
        <w:pStyle w:val="ListBullet"/>
      </w:pPr>
      <w:r w:rsidRPr="00E8426B">
        <w:t>work health and safety (WHS) requirements relating to carrying out PDR on vehicle body panels, including procedures for:</w:t>
      </w:r>
    </w:p>
    <w:p w:rsidR="00000000" w:rsidRPr="00E8426B" w:rsidP="00E8426B">
      <w:pPr>
        <w:pStyle w:val="ListBullet2"/>
      </w:pPr>
      <w:r w:rsidRPr="00E8426B">
        <w:t>sele</w:t>
      </w:r>
      <w:r w:rsidRPr="00E8426B">
        <w:t>cting and using personal protective equipment (PPE)</w:t>
      </w:r>
    </w:p>
    <w:p w:rsidR="00000000" w:rsidRPr="00E8426B" w:rsidP="00E8426B">
      <w:pPr>
        <w:pStyle w:val="ListBullet2"/>
      </w:pPr>
      <w:r w:rsidRPr="00E8426B">
        <w:t>manually handling vehicle body panels</w:t>
      </w:r>
    </w:p>
    <w:p w:rsidR="00000000" w:rsidRPr="00E8426B" w:rsidP="00E8426B">
      <w:pPr>
        <w:pStyle w:val="ListBullet"/>
      </w:pPr>
      <w:r w:rsidRPr="00E8426B">
        <w:t>PDR methods and techniques, including:</w:t>
      </w:r>
    </w:p>
    <w:p w:rsidR="00000000" w:rsidRPr="00E8426B" w:rsidP="00E8426B">
      <w:pPr>
        <w:pStyle w:val="ListBullet2"/>
      </w:pPr>
      <w:r w:rsidRPr="00E8426B">
        <w:t>type and use of PDR tools, lighting equipment, and paint polishing materials</w:t>
      </w:r>
    </w:p>
    <w:p w:rsidR="00000000" w:rsidRPr="00E8426B" w:rsidP="00E8426B">
      <w:pPr>
        <w:pStyle w:val="ListBullet2"/>
      </w:pPr>
      <w:r w:rsidRPr="00E8426B">
        <w:t>establishing lighting requirements</w:t>
      </w:r>
    </w:p>
    <w:p w:rsidR="00000000" w:rsidRPr="00E8426B" w:rsidP="00E8426B">
      <w:pPr>
        <w:pStyle w:val="ListBullet2"/>
      </w:pPr>
      <w:r w:rsidRPr="00E8426B">
        <w:t>trim removal processes</w:t>
      </w:r>
    </w:p>
    <w:p w:rsidR="00000000" w:rsidRPr="00E8426B" w:rsidP="00E8426B">
      <w:pPr>
        <w:pStyle w:val="ListBullet2"/>
      </w:pPr>
      <w:r w:rsidRPr="00E8426B">
        <w:t>paint film build and its effects on PDR</w:t>
      </w:r>
    </w:p>
    <w:p w:rsidR="00000000" w:rsidRPr="00E8426B" w:rsidP="00E8426B">
      <w:pPr>
        <w:pStyle w:val="ListBullet2"/>
      </w:pPr>
      <w:r w:rsidRPr="00E8426B">
        <w:t>PDR push to paint surface</w:t>
      </w:r>
    </w:p>
    <w:p w:rsidR="00000000" w:rsidRPr="00E8426B" w:rsidP="00E8426B">
      <w:pPr>
        <w:pStyle w:val="ListBullet2"/>
      </w:pPr>
      <w:r w:rsidRPr="00E8426B">
        <w:t>paint finishes, including peel and texture</w:t>
      </w:r>
    </w:p>
    <w:p w:rsidR="00000000" w:rsidRPr="00E8426B" w:rsidP="00E8426B">
      <w:pPr>
        <w:pStyle w:val="ListBullet2"/>
      </w:pPr>
      <w:r w:rsidRPr="00E8426B">
        <w:t>paint fractures and delamination</w:t>
      </w:r>
    </w:p>
    <w:p w:rsidR="00000000" w:rsidRPr="00E8426B" w:rsidP="00E8426B">
      <w:pPr>
        <w:pStyle w:val="ListBullet2"/>
      </w:pPr>
      <w:r w:rsidRPr="00E8426B">
        <w:t>corrosion prevention resulting from PDR</w:t>
      </w:r>
    </w:p>
    <w:p w:rsidR="00000000" w:rsidRPr="00E8426B" w:rsidP="00E8426B">
      <w:pPr>
        <w:pStyle w:val="ListBullet2"/>
      </w:pPr>
      <w:r w:rsidRPr="00E8426B">
        <w:t>types of dents appropriate to PDR method</w:t>
      </w:r>
    </w:p>
    <w:p w:rsidR="00000000" w:rsidRPr="00E8426B" w:rsidP="00E8426B">
      <w:pPr>
        <w:pStyle w:val="ListBullet"/>
      </w:pPr>
      <w:r w:rsidRPr="00E8426B">
        <w:t>PDR techn</w:t>
      </w:r>
      <w:r w:rsidRPr="00E8426B">
        <w:t>iques, including pushing, pressing, reforming, levering, pulling, gluing, and suction cups</w:t>
      </w:r>
    </w:p>
    <w:p w:rsidR="00000000" w:rsidRPr="00E8426B" w:rsidP="00E8426B">
      <w:pPr>
        <w:pStyle w:val="ListBullet"/>
      </w:pPr>
      <w:r w:rsidRPr="00E8426B">
        <w:t>PDR tools and equipment, including:</w:t>
      </w:r>
    </w:p>
    <w:p w:rsidR="00000000" w:rsidRPr="00E8426B" w:rsidP="00E8426B">
      <w:pPr>
        <w:pStyle w:val="ListBullet2"/>
      </w:pPr>
      <w:r w:rsidRPr="00E8426B">
        <w:t>PDR hand tools</w:t>
      </w:r>
    </w:p>
    <w:p w:rsidR="00000000" w:rsidRPr="00E8426B" w:rsidP="00E8426B">
      <w:pPr>
        <w:pStyle w:val="ListBullet2"/>
      </w:pPr>
      <w:r w:rsidRPr="00E8426B">
        <w:t>lighting</w:t>
      </w:r>
    </w:p>
    <w:p w:rsidR="00000000" w:rsidRPr="00E8426B" w:rsidP="00E8426B">
      <w:pPr>
        <w:pStyle w:val="ListBullet2"/>
      </w:pPr>
      <w:r w:rsidRPr="00E8426B">
        <w:t>personal protective equipment</w:t>
      </w:r>
    </w:p>
    <w:p w:rsidR="00000000" w:rsidRPr="00E8426B" w:rsidP="00E8426B">
      <w:pPr>
        <w:pStyle w:val="ListBullet"/>
      </w:pPr>
      <w:r w:rsidRPr="00E8426B">
        <w:t xml:space="preserve">PDR finish and quality standard </w:t>
      </w:r>
    </w:p>
    <w:p w:rsidR="00000000" w:rsidRPr="00E8426B" w:rsidP="00E8426B">
      <w:pPr>
        <w:pStyle w:val="ListBullet"/>
      </w:pPr>
      <w:r w:rsidRPr="00E8426B">
        <w:t>procedures for final inspection of completed PDR repairs.</w:t>
      </w:r>
    </w:p>
    <w:p w:rsidR="00000000" w:rsidRPr="00E8426B" w:rsidP="00E8426B">
      <w:pPr>
        <w:pStyle w:val="AllowPageBreak"/>
      </w:pPr>
    </w:p>
    <w:p w:rsidR="00000000" w:rsidRPr="00E8426B" w:rsidP="00E8426B">
      <w:pPr>
        <w:pStyle w:val="Heading1"/>
      </w:pPr>
      <w:bookmarkStart w:id="4" w:name="O_1129642"/>
      <w:bookmarkEnd w:id="4"/>
      <w:r w:rsidRPr="00E8426B">
        <w:t>Assessment Conditions</w:t>
      </w:r>
    </w:p>
    <w:p w:rsidR="00000000" w:rsidRPr="00E8426B" w:rsidP="0009753E">
      <w:pPr>
        <w:pStyle w:val="BodyText"/>
      </w:pPr>
      <w:r w:rsidRPr="00E8426B">
        <w:t>Competency is to be assessed in the workplace or a simulated environment that accurately reflects performance in a real workplace setting.</w:t>
      </w:r>
    </w:p>
    <w:p w:rsidR="00000000" w:rsidRPr="00E8426B" w:rsidP="0009753E">
      <w:pPr>
        <w:pStyle w:val="BodyText"/>
      </w:pPr>
      <w:r w:rsidRPr="00E8426B">
        <w:t>Assessment must in</w:t>
      </w:r>
      <w:r w:rsidRPr="00E8426B">
        <w:t>clude direct observation of tasks.</w:t>
      </w:r>
    </w:p>
    <w:p w:rsidR="00000000" w:rsidRPr="00E8426B" w:rsidP="0009753E">
      <w:pPr>
        <w:pStyle w:val="BodyText"/>
      </w:pPr>
      <w:r w:rsidRPr="00E8426B">
        <w:t>Where assessment of competency includes third-party evidence, individuals must provide evidence that links them to the PDR repairs they have carried out, e.g. repair orders.</w:t>
      </w:r>
    </w:p>
    <w:p w:rsidR="00000000" w:rsidRPr="00E8426B" w:rsidP="0009753E">
      <w:pPr>
        <w:pStyle w:val="BodyText"/>
      </w:pPr>
      <w:r w:rsidRPr="00E8426B">
        <w:t>Assessors must verify performance evidence thro</w:t>
      </w:r>
      <w:r w:rsidRPr="00E8426B">
        <w:t>ugh questioning on skills and knowledge to ensure correct interpretation and application.</w:t>
      </w:r>
    </w:p>
    <w:p w:rsidR="00000000" w:rsidRPr="00E8426B" w:rsidP="0009753E">
      <w:pPr>
        <w:pStyle w:val="BodyText"/>
      </w:pPr>
      <w:r w:rsidRPr="00E8426B">
        <w:t>The following resources must be made available:</w:t>
      </w:r>
    </w:p>
    <w:p w:rsidR="00000000" w:rsidRPr="00E8426B" w:rsidP="00E8426B">
      <w:pPr>
        <w:pStyle w:val="ListBullet"/>
      </w:pPr>
      <w:r w:rsidRPr="00E8426B">
        <w:t>automotive repair workplace or simulated workplace</w:t>
      </w:r>
    </w:p>
    <w:p w:rsidR="00000000" w:rsidRPr="00E8426B" w:rsidP="00E8426B">
      <w:pPr>
        <w:pStyle w:val="ListBullet"/>
      </w:pPr>
      <w:r w:rsidRPr="00E8426B">
        <w:t>workplace instructions</w:t>
      </w:r>
    </w:p>
    <w:p w:rsidR="00000000" w:rsidRPr="00E8426B" w:rsidP="00E8426B">
      <w:pPr>
        <w:pStyle w:val="ListBullet"/>
      </w:pPr>
      <w:r w:rsidRPr="00E8426B">
        <w:t>vehicles, panels and components requiring P</w:t>
      </w:r>
      <w:r w:rsidRPr="00E8426B">
        <w:t>DR as specified in the performance evidence</w:t>
      </w:r>
    </w:p>
    <w:p w:rsidR="00000000" w:rsidRPr="00E8426B" w:rsidP="00E8426B">
      <w:pPr>
        <w:pStyle w:val="ListBullet"/>
      </w:pPr>
      <w:r w:rsidRPr="00E8426B">
        <w:t>tools, equipment and materials appropriate for carrying out paint-less dent repairs, including required PPE.</w:t>
      </w:r>
    </w:p>
    <w:p w:rsidR="00000000" w:rsidRPr="00E8426B" w:rsidP="00E8426B">
      <w:pPr>
        <w:pStyle w:val="List"/>
      </w:pPr>
    </w:p>
    <w:p w:rsidR="00000000" w:rsidRPr="00E8426B" w:rsidP="0009753E">
      <w:pPr>
        <w:pStyle w:val="BodyText"/>
      </w:pPr>
      <w:r w:rsidRPr="00E8426B">
        <w:t>Assessors of this unit must satisfy the requirements for</w:t>
      </w:r>
      <w:r w:rsidRPr="00E8426B">
        <w:t xml:space="preserve"> assessors in applicable vocational education and training legislation, frameworks and/or standards.</w:t>
      </w:r>
    </w:p>
    <w:p w:rsidR="00000000" w:rsidRPr="00E8426B" w:rsidP="00E8426B">
      <w:pPr>
        <w:pStyle w:val="Heading1"/>
      </w:pPr>
      <w:bookmarkStart w:id="5" w:name="O_1129640"/>
      <w:bookmarkEnd w:id="5"/>
      <w:r w:rsidRPr="00E8426B">
        <w:t>Links</w:t>
      </w:r>
    </w:p>
    <w:p w:rsidR="00000000" w:rsidRPr="00E8426B" w:rsidP="0009753E">
      <w:pPr>
        <w:pStyle w:val="BodyText"/>
      </w:pPr>
      <w:r w:rsidRPr="00E842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1549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8426B" w:rsidP="00E8426B"/>
    <w:sectPr w:rsidSect="00E842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6B" w:rsidRPr="0009753E" w:rsidP="00097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3E" w:rsidP="00E842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753E" w:rsidP="00E842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753E" w:rsidP="00E842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426B" w:rsidRPr="0009753E" w:rsidP="00097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2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3E" w:rsidRPr="002D2AF8" w:rsidP="00E842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AURVTN113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09753E" w:rsidP="00E842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86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76B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0F2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42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42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42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42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42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42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42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42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42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42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42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426B"/>
  </w:style>
  <w:style w:type="character" w:customStyle="1" w:styleId="Heading1Char">
    <w:name w:val="Heading 1 Char"/>
    <w:basedOn w:val="DefaultParagraphFont"/>
    <w:link w:val="Heading1"/>
    <w:rsid w:val="00E842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42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42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42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42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426B"/>
    <w:rPr>
      <w:b/>
      <w:spacing w:val="0"/>
    </w:rPr>
  </w:style>
  <w:style w:type="paragraph" w:styleId="ListBullet2">
    <w:name w:val="List Bullet 2"/>
    <w:basedOn w:val="List2"/>
    <w:rsid w:val="00E8426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42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42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42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42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42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42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42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42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42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42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42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42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42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42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42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42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42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42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42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42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42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42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42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42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42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42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42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42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42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42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42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42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426B"/>
    <w:rPr>
      <w:i/>
    </w:rPr>
  </w:style>
  <w:style w:type="paragraph" w:styleId="Caption">
    <w:name w:val="caption"/>
    <w:basedOn w:val="BodyText"/>
    <w:next w:val="Normal"/>
    <w:qFormat/>
    <w:rsid w:val="00E842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42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42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426B"/>
  </w:style>
  <w:style w:type="paragraph" w:styleId="TableofFigures">
    <w:name w:val="table of figures"/>
    <w:basedOn w:val="Normal"/>
    <w:next w:val="Normal"/>
    <w:semiHidden/>
    <w:rsid w:val="00E842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42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426B"/>
    <w:rPr>
      <w:rFonts w:ascii="Wingdings" w:hAnsi="Wingdings"/>
    </w:rPr>
  </w:style>
  <w:style w:type="paragraph" w:customStyle="1" w:styleId="TableHeading">
    <w:name w:val="Table Heading"/>
    <w:basedOn w:val="HeadingBase"/>
    <w:rsid w:val="00E842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426B"/>
    <w:rPr>
      <w:color w:val="0033CC"/>
      <w:u w:val="none"/>
    </w:rPr>
  </w:style>
  <w:style w:type="paragraph" w:customStyle="1" w:styleId="BodyTextRight">
    <w:name w:val="Body Text Right"/>
    <w:basedOn w:val="BodyText"/>
    <w:rsid w:val="00E842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42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42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42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42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42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426B"/>
    <w:rPr>
      <w:sz w:val="32"/>
    </w:rPr>
  </w:style>
  <w:style w:type="paragraph" w:customStyle="1" w:styleId="HeadingProcedure">
    <w:name w:val="Heading Procedure"/>
    <w:basedOn w:val="HeadingBase"/>
    <w:next w:val="Normal"/>
    <w:rsid w:val="00E842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426B"/>
    <w:pPr>
      <w:spacing w:before="60" w:after="60"/>
    </w:pPr>
  </w:style>
  <w:style w:type="paragraph" w:styleId="ListContinue">
    <w:name w:val="List Continue"/>
    <w:basedOn w:val="List"/>
    <w:rsid w:val="00E8426B"/>
    <w:pPr>
      <w:ind w:firstLine="0"/>
    </w:pPr>
  </w:style>
  <w:style w:type="paragraph" w:customStyle="1" w:styleId="ListNote">
    <w:name w:val="List Note"/>
    <w:basedOn w:val="List"/>
    <w:rsid w:val="00E842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42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42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426B"/>
    <w:rPr>
      <w:rFonts w:ascii="Courier New" w:hAnsi="Courier New"/>
    </w:rPr>
  </w:style>
  <w:style w:type="paragraph" w:customStyle="1" w:styleId="NoteBullet">
    <w:name w:val="Note Bullet"/>
    <w:basedOn w:val="Note"/>
    <w:rsid w:val="00E842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42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42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42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42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42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42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426B"/>
    <w:rPr>
      <w:b/>
      <w:smallCaps/>
    </w:rPr>
  </w:style>
  <w:style w:type="paragraph" w:customStyle="1" w:styleId="TableListNumber">
    <w:name w:val="Table List Number"/>
    <w:basedOn w:val="ListNumber"/>
    <w:rsid w:val="00E842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42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426B"/>
    <w:pPr>
      <w:numPr>
        <w:numId w:val="10"/>
      </w:numPr>
    </w:pPr>
  </w:style>
  <w:style w:type="paragraph" w:customStyle="1" w:styleId="ListAlpha2">
    <w:name w:val="List Alpha 2"/>
    <w:basedOn w:val="List2"/>
    <w:rsid w:val="00E8426B"/>
    <w:pPr>
      <w:numPr>
        <w:numId w:val="9"/>
      </w:numPr>
    </w:pPr>
  </w:style>
  <w:style w:type="paragraph" w:styleId="List2">
    <w:name w:val="List 2"/>
    <w:basedOn w:val="BodyText"/>
    <w:rsid w:val="00E842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42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42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42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42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426B"/>
    <w:pPr>
      <w:numPr>
        <w:numId w:val="5"/>
      </w:numPr>
    </w:pPr>
  </w:style>
  <w:style w:type="paragraph" w:styleId="ListContinue2">
    <w:name w:val="List Continue 2"/>
    <w:basedOn w:val="List2"/>
    <w:rsid w:val="00E8426B"/>
    <w:pPr>
      <w:ind w:firstLine="0"/>
    </w:pPr>
  </w:style>
  <w:style w:type="paragraph" w:styleId="ListContinue3">
    <w:name w:val="List Continue 3"/>
    <w:basedOn w:val="List3"/>
    <w:rsid w:val="00E8426B"/>
    <w:pPr>
      <w:ind w:left="1021" w:firstLine="0"/>
    </w:pPr>
  </w:style>
  <w:style w:type="paragraph" w:styleId="ListContinue4">
    <w:name w:val="List Continue 4"/>
    <w:basedOn w:val="List4"/>
    <w:rsid w:val="00E8426B"/>
    <w:pPr>
      <w:ind w:firstLine="0"/>
    </w:pPr>
  </w:style>
  <w:style w:type="paragraph" w:styleId="ListContinue5">
    <w:name w:val="List Continue 5"/>
    <w:basedOn w:val="List5"/>
    <w:rsid w:val="00E8426B"/>
    <w:pPr>
      <w:ind w:firstLine="0"/>
    </w:pPr>
  </w:style>
  <w:style w:type="paragraph" w:styleId="ListNumber3">
    <w:name w:val="List Number 3"/>
    <w:basedOn w:val="List3"/>
    <w:rsid w:val="00E8426B"/>
    <w:pPr>
      <w:numPr>
        <w:numId w:val="6"/>
      </w:numPr>
    </w:pPr>
  </w:style>
  <w:style w:type="paragraph" w:styleId="ListNumber4">
    <w:name w:val="List Number 4"/>
    <w:basedOn w:val="List4"/>
    <w:rsid w:val="00E8426B"/>
    <w:pPr>
      <w:numPr>
        <w:numId w:val="7"/>
      </w:numPr>
    </w:pPr>
  </w:style>
  <w:style w:type="paragraph" w:styleId="ListNumber5">
    <w:name w:val="List Number 5"/>
    <w:basedOn w:val="List5"/>
    <w:rsid w:val="00E8426B"/>
    <w:pPr>
      <w:numPr>
        <w:numId w:val="8"/>
      </w:numPr>
    </w:pPr>
  </w:style>
  <w:style w:type="paragraph" w:styleId="BlockText">
    <w:name w:val="Block Text"/>
    <w:basedOn w:val="Normal"/>
    <w:rsid w:val="00E842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42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426B"/>
    <w:rPr>
      <w:sz w:val="16"/>
      <w:vertAlign w:val="superscript"/>
    </w:rPr>
  </w:style>
  <w:style w:type="character" w:customStyle="1" w:styleId="Symbols">
    <w:name w:val="Symbols"/>
    <w:basedOn w:val="DefaultParagraphFont"/>
    <w:rsid w:val="00E8426B"/>
    <w:rPr>
      <w:rFonts w:ascii="Symbol" w:hAnsi="Symbol"/>
    </w:rPr>
  </w:style>
  <w:style w:type="character" w:customStyle="1" w:styleId="MenuOptions">
    <w:name w:val="Menu Options"/>
    <w:basedOn w:val="DefaultParagraphFont"/>
    <w:rsid w:val="00E842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426B"/>
    <w:rPr>
      <w:b/>
    </w:rPr>
  </w:style>
  <w:style w:type="character" w:customStyle="1" w:styleId="Underlined">
    <w:name w:val="Underlined"/>
    <w:basedOn w:val="DefaultParagraphFont"/>
    <w:rsid w:val="00E8426B"/>
    <w:rPr>
      <w:u w:val="single"/>
    </w:rPr>
  </w:style>
  <w:style w:type="paragraph" w:customStyle="1" w:styleId="TableBodyTextRight">
    <w:name w:val="Table Body Text Right"/>
    <w:basedOn w:val="TableBodyText"/>
    <w:rsid w:val="00E842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426B"/>
    <w:rPr>
      <w:sz w:val="18"/>
    </w:rPr>
  </w:style>
  <w:style w:type="paragraph" w:customStyle="1" w:styleId="BodySmallRight">
    <w:name w:val="Body Small Right"/>
    <w:basedOn w:val="BodyTextRight"/>
    <w:rsid w:val="00E8426B"/>
    <w:rPr>
      <w:sz w:val="18"/>
      <w:szCs w:val="18"/>
    </w:rPr>
  </w:style>
  <w:style w:type="paragraph" w:customStyle="1" w:styleId="MarginEdition">
    <w:name w:val="Margin Edition"/>
    <w:basedOn w:val="MarginNote"/>
    <w:rsid w:val="00E842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426B"/>
    <w:rPr>
      <w:sz w:val="2"/>
      <w:szCs w:val="2"/>
    </w:rPr>
  </w:style>
  <w:style w:type="character" w:customStyle="1" w:styleId="Small">
    <w:name w:val="Small"/>
    <w:basedOn w:val="DefaultParagraphFont"/>
    <w:rsid w:val="00E8426B"/>
    <w:rPr>
      <w:sz w:val="16"/>
    </w:rPr>
  </w:style>
  <w:style w:type="paragraph" w:customStyle="1" w:styleId="WideTable">
    <w:name w:val="Wide Table"/>
    <w:basedOn w:val="Normal"/>
    <w:rsid w:val="00E842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426B"/>
  </w:style>
  <w:style w:type="paragraph" w:styleId="Quote">
    <w:name w:val="Quote"/>
    <w:basedOn w:val="Heading1"/>
    <w:link w:val="QuoteChar"/>
    <w:qFormat/>
    <w:rsid w:val="00E842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42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426B"/>
    <w:pPr>
      <w:pageBreakBefore/>
    </w:pPr>
  </w:style>
  <w:style w:type="paragraph" w:customStyle="1" w:styleId="Border">
    <w:name w:val="Border"/>
    <w:basedOn w:val="Normal"/>
    <w:qFormat/>
    <w:rsid w:val="00E842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42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2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2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42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42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42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42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42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426B"/>
    <w:rPr>
      <w:u w:val="single"/>
    </w:rPr>
  </w:style>
  <w:style w:type="character" w:customStyle="1" w:styleId="BoldandItalics">
    <w:name w:val="Bold and Italics"/>
    <w:qFormat/>
    <w:rsid w:val="00E8426B"/>
    <w:rPr>
      <w:b/>
      <w:i/>
      <w:u w:val="none"/>
    </w:rPr>
  </w:style>
  <w:style w:type="paragraph" w:styleId="BalloonText">
    <w:name w:val="Balloon Text"/>
    <w:basedOn w:val="Normal"/>
    <w:link w:val="BalloonTextChar"/>
    <w:rsid w:val="00E842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42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42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42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42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42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426B"/>
    <w:pPr>
      <w:spacing w:before="0" w:after="0"/>
    </w:pPr>
  </w:style>
  <w:style w:type="paragraph" w:customStyle="1" w:styleId="BodyTextBold">
    <w:name w:val="Body Text Bold"/>
    <w:basedOn w:val="BodyText"/>
    <w:qFormat/>
    <w:rsid w:val="00E8426B"/>
    <w:rPr>
      <w:b/>
    </w:rPr>
  </w:style>
  <w:style w:type="character" w:styleId="Hyperlink">
    <w:name w:val="Hyperlink"/>
    <w:basedOn w:val="DefaultParagraphFont"/>
    <w:uiPriority w:val="99"/>
    <w:unhideWhenUsed/>
    <w:rsid w:val="00097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3329</Characters>
  <Application>Microsoft Office Word</Application>
  <DocSecurity>0</DocSecurity>
  <Lines>87</Lines>
  <Paragraphs>68</Paragraphs>
  <ScaleCrop>false</ScaleCrop>
  <Company>Author-it Software Corporation Ltd.</Company>
  <LinksUpToDate>false</LinksUpToDate>
  <CharactersWithSpaces>3779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AURVTN113 Carry out paint-less dent repairs on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2022-06-23T07:16:00Z</dcterms:created>
  <dcterms:modified xsi:type="dcterms:W3CDTF">2022-06-23T07:16:00Z</dcterms:modified>
</cp:coreProperties>
</file>