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6003" w:rsidP="00CC60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AURVTN022 Repair vehicle body misalignment</w:t>
      </w:r>
      <w:r>
        <w:fldChar w:fldCharType="end"/>
      </w:r>
    </w:p>
    <w:p w:rsidR="00CC6003" w:rsidP="00CC6003">
      <w:pPr>
        <w:pStyle w:val="Version"/>
        <w:sectPr w:rsidSect="00511E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1EEC" w:rsidP="00511EEC">
      <w:pPr>
        <w:pStyle w:val="SuperHeading"/>
      </w:pPr>
      <w:r w:rsidRPr="00511EEC">
        <w:t>Assessment Requirements for AURVTN022 Repair vehicle body misalignment</w:t>
      </w:r>
    </w:p>
    <w:p w:rsidR="00000000" w:rsidRPr="00511EEC" w:rsidP="00511EEC">
      <w:pPr>
        <w:pStyle w:val="Heading1"/>
      </w:pPr>
      <w:bookmarkStart w:id="1" w:name="O_803821"/>
      <w:bookmarkEnd w:id="1"/>
      <w:r w:rsidRPr="00511EE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C600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EEC" w:rsidP="00511EEC">
            <w:pPr>
              <w:pStyle w:val="BodyText"/>
            </w:pPr>
            <w:r w:rsidRPr="00511EE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EEC">
            <w:pPr>
              <w:pStyle w:val="BodyText"/>
              <w:rPr>
                <w:lang w:val="en-NZ"/>
              </w:rPr>
            </w:pPr>
            <w:r w:rsidRPr="00511EEC">
              <w:rPr>
                <w:rStyle w:val="SpecialBold"/>
              </w:rPr>
              <w:t>Comment</w:t>
            </w:r>
          </w:p>
        </w:tc>
      </w:tr>
      <w:tr w:rsidTr="00CC600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EEC">
            <w:pPr>
              <w:pStyle w:val="BodyText"/>
              <w:rPr>
                <w:lang w:val="en-NZ"/>
              </w:rPr>
            </w:pPr>
            <w:r w:rsidRPr="00511EEC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EEC" w:rsidP="00511EEC">
            <w:pPr>
              <w:pStyle w:val="BodyText"/>
            </w:pPr>
            <w:r w:rsidRPr="00511EEC">
              <w:t>New unit of competency.</w:t>
            </w:r>
          </w:p>
        </w:tc>
      </w:tr>
    </w:tbl>
    <w:p w:rsidR="00000000" w:rsidRPr="00511EEC" w:rsidP="00511EEC">
      <w:pPr>
        <w:pStyle w:val="BodyText"/>
      </w:pPr>
    </w:p>
    <w:p w:rsidR="00000000" w:rsidRPr="00511EEC" w:rsidP="00511EEC">
      <w:pPr>
        <w:pStyle w:val="AllowPageBreak"/>
      </w:pPr>
    </w:p>
    <w:p w:rsidR="00000000" w:rsidRPr="00511EEC" w:rsidP="00511EEC">
      <w:pPr>
        <w:pStyle w:val="Heading1"/>
      </w:pPr>
      <w:bookmarkStart w:id="2" w:name="O_803822"/>
      <w:bookmarkEnd w:id="2"/>
      <w:r w:rsidRPr="00511EEC">
        <w:t>Performance Evidence</w:t>
      </w:r>
    </w:p>
    <w:p w:rsidR="00000000" w:rsidRPr="00511EEC" w:rsidP="00CC6003">
      <w:pPr>
        <w:pStyle w:val="BodyText"/>
      </w:pPr>
      <w:r w:rsidRPr="00511EEC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511EEC" w:rsidP="00511EEC">
      <w:pPr>
        <w:pStyle w:val="ListBullet"/>
      </w:pPr>
      <w:r w:rsidRPr="00511EEC">
        <w:t xml:space="preserve">repair vehicle body misalignment, </w:t>
      </w:r>
      <w:r w:rsidRPr="00511EEC">
        <w:t>including two of the following sections:</w:t>
      </w:r>
    </w:p>
    <w:p w:rsidR="00000000" w:rsidRPr="00511EEC" w:rsidP="00511EEC">
      <w:pPr>
        <w:pStyle w:val="ListBullet2"/>
      </w:pPr>
      <w:r w:rsidRPr="00511EEC">
        <w:t>vehicle front chassis section</w:t>
      </w:r>
    </w:p>
    <w:p w:rsidR="00000000" w:rsidRPr="00511EEC" w:rsidP="00511EEC">
      <w:pPr>
        <w:pStyle w:val="ListBullet2"/>
      </w:pPr>
      <w:r w:rsidRPr="00511EEC">
        <w:t xml:space="preserve">rear panels and floor section </w:t>
      </w:r>
    </w:p>
    <w:p w:rsidR="00000000" w:rsidRPr="00511EEC" w:rsidP="00511EEC">
      <w:pPr>
        <w:pStyle w:val="ListBullet2"/>
      </w:pPr>
      <w:r w:rsidRPr="00511EEC">
        <w:t>side sill and pillar section.</w:t>
      </w:r>
    </w:p>
    <w:p w:rsidR="00000000" w:rsidRPr="00511EEC" w:rsidP="00511EEC">
      <w:pPr>
        <w:pStyle w:val="AllowPageBreak"/>
      </w:pPr>
    </w:p>
    <w:p w:rsidR="00000000" w:rsidRPr="00511EEC" w:rsidP="00511EEC">
      <w:pPr>
        <w:pStyle w:val="Heading1"/>
      </w:pPr>
      <w:bookmarkStart w:id="3" w:name="O_803823"/>
      <w:bookmarkEnd w:id="3"/>
      <w:r w:rsidRPr="00511EEC">
        <w:t>Knowledge Evidence</w:t>
      </w:r>
    </w:p>
    <w:p w:rsidR="00000000" w:rsidRPr="00511EEC" w:rsidP="00CC6003">
      <w:pPr>
        <w:pStyle w:val="BodyText"/>
      </w:pPr>
      <w:r w:rsidRPr="00511EEC">
        <w:t>Individuals must be able to demonstrate knowledge of:</w:t>
      </w:r>
    </w:p>
    <w:p w:rsidR="00000000" w:rsidRPr="00511EEC" w:rsidP="00511EEC">
      <w:pPr>
        <w:pStyle w:val="ListBullet"/>
      </w:pPr>
      <w:r w:rsidRPr="00511EEC">
        <w:t>work health and safety (WHS) and occupational health and safety (OHS) requirements relating to repairing vehicle body misalignment, including procedures for:</w:t>
      </w:r>
    </w:p>
    <w:p w:rsidR="00000000" w:rsidRPr="00511EEC" w:rsidP="00511EEC">
      <w:pPr>
        <w:pStyle w:val="ListBullet2"/>
      </w:pPr>
      <w:r w:rsidRPr="00511EEC">
        <w:t>selecting and using personal protective equipment (PPE)</w:t>
      </w:r>
    </w:p>
    <w:p w:rsidR="00000000" w:rsidRPr="00511EEC" w:rsidP="00511EEC">
      <w:pPr>
        <w:pStyle w:val="ListBullet2"/>
      </w:pPr>
      <w:r w:rsidRPr="00511EEC">
        <w:t>manually handling measuring equipment</w:t>
      </w:r>
    </w:p>
    <w:p w:rsidR="00000000" w:rsidRPr="00511EEC" w:rsidP="00511EEC">
      <w:pPr>
        <w:pStyle w:val="ListBullet2"/>
      </w:pPr>
      <w:r w:rsidRPr="00511EEC">
        <w:t>usi</w:t>
      </w:r>
      <w:r w:rsidRPr="00511EEC">
        <w:t>ng tools and equipment</w:t>
      </w:r>
    </w:p>
    <w:p w:rsidR="00000000" w:rsidRPr="00511EEC" w:rsidP="00511EEC">
      <w:pPr>
        <w:pStyle w:val="ListBullet"/>
      </w:pPr>
      <w:r w:rsidRPr="00511EEC">
        <w:t>environmental requirements, including procedures for trapping, storing and disposing of waste materials</w:t>
      </w:r>
    </w:p>
    <w:p w:rsidR="00000000" w:rsidRPr="00511EEC" w:rsidP="00511EEC">
      <w:pPr>
        <w:pStyle w:val="ListBullet"/>
      </w:pPr>
      <w:r w:rsidRPr="00511EEC">
        <w:t>original equipment manufacturer (OEM) or authorised agency’s recommended repair procedures for removing, replacing and realignin</w:t>
      </w:r>
      <w:r w:rsidRPr="00511EEC">
        <w:t>g vehicle bodies</w:t>
      </w:r>
    </w:p>
    <w:p w:rsidR="00000000" w:rsidRPr="00511EEC" w:rsidP="00511EEC">
      <w:pPr>
        <w:pStyle w:val="ListBullet"/>
      </w:pPr>
      <w:r w:rsidRPr="00511EEC">
        <w:t>following vehicle design characteristics and their implications for repair and realignment methods:</w:t>
      </w:r>
    </w:p>
    <w:p w:rsidR="00000000" w:rsidRPr="00511EEC" w:rsidP="00511EEC">
      <w:pPr>
        <w:pStyle w:val="ListBullet2"/>
      </w:pPr>
      <w:r w:rsidRPr="00511EEC">
        <w:t>mono</w:t>
      </w:r>
    </w:p>
    <w:p w:rsidR="00000000" w:rsidRPr="00511EEC" w:rsidP="00511EEC">
      <w:pPr>
        <w:pStyle w:val="ListBullet2"/>
      </w:pPr>
      <w:r w:rsidRPr="00511EEC">
        <w:t>unitised</w:t>
      </w:r>
    </w:p>
    <w:p w:rsidR="00000000" w:rsidRPr="00511EEC" w:rsidP="00511EEC">
      <w:pPr>
        <w:pStyle w:val="ListBullet2"/>
      </w:pPr>
      <w:r w:rsidRPr="00511EEC">
        <w:t>chassis</w:t>
      </w:r>
    </w:p>
    <w:p w:rsidR="00000000" w:rsidRPr="00511EEC" w:rsidP="00511EEC">
      <w:pPr>
        <w:pStyle w:val="ListBullet2"/>
      </w:pPr>
      <w:r w:rsidRPr="00511EEC">
        <w:t>space frame</w:t>
      </w:r>
    </w:p>
    <w:p w:rsidR="00000000" w:rsidRPr="00511EEC" w:rsidP="00511EEC">
      <w:pPr>
        <w:pStyle w:val="ListBullet"/>
      </w:pPr>
      <w:r w:rsidRPr="00511EEC">
        <w:t>types of misalignment damage, including:</w:t>
      </w:r>
    </w:p>
    <w:p w:rsidR="00000000" w:rsidRPr="00511EEC" w:rsidP="00511EEC">
      <w:pPr>
        <w:pStyle w:val="ListBullet2"/>
      </w:pPr>
      <w:r w:rsidRPr="00511EEC">
        <w:t>under and upper body damage</w:t>
      </w:r>
    </w:p>
    <w:p w:rsidR="00000000" w:rsidRPr="00511EEC" w:rsidP="00511EEC">
      <w:pPr>
        <w:pStyle w:val="ListBullet2"/>
      </w:pPr>
      <w:r w:rsidRPr="00511EEC">
        <w:t>sway</w:t>
      </w:r>
    </w:p>
    <w:p w:rsidR="00000000" w:rsidRPr="00511EEC" w:rsidP="00511EEC">
      <w:pPr>
        <w:pStyle w:val="ListBullet2"/>
      </w:pPr>
      <w:r w:rsidRPr="00511EEC">
        <w:t>sag</w:t>
      </w:r>
    </w:p>
    <w:p w:rsidR="00000000" w:rsidRPr="00511EEC" w:rsidP="00511EEC">
      <w:pPr>
        <w:pStyle w:val="ListBullet2"/>
      </w:pPr>
      <w:r w:rsidRPr="00511EEC">
        <w:t>twist</w:t>
      </w:r>
    </w:p>
    <w:p w:rsidR="00000000" w:rsidRPr="00511EEC" w:rsidP="00511EEC">
      <w:pPr>
        <w:pStyle w:val="ListBullet2"/>
      </w:pPr>
      <w:r w:rsidRPr="00511EEC">
        <w:t>kick-up and kick-down</w:t>
      </w:r>
    </w:p>
    <w:p w:rsidR="00000000" w:rsidRPr="00511EEC" w:rsidP="00511EEC">
      <w:pPr>
        <w:pStyle w:val="ListBullet2"/>
      </w:pPr>
      <w:r w:rsidRPr="00511EEC">
        <w:t>mash and diamond</w:t>
      </w:r>
    </w:p>
    <w:p w:rsidR="00000000" w:rsidRPr="00511EEC" w:rsidP="00511EEC">
      <w:pPr>
        <w:pStyle w:val="ListBullet"/>
      </w:pPr>
      <w:r w:rsidRPr="00511EEC">
        <w:t>methods and techniques for identifying misalignment damage, including:</w:t>
      </w:r>
    </w:p>
    <w:p w:rsidR="00000000" w:rsidRPr="00511EEC" w:rsidP="00511EEC">
      <w:pPr>
        <w:pStyle w:val="ListBullet2"/>
      </w:pPr>
      <w:r w:rsidRPr="00511EEC">
        <w:t>visual, mechanical and physical checking</w:t>
      </w:r>
    </w:p>
    <w:p w:rsidR="00000000" w:rsidRPr="00511EEC" w:rsidP="00511EEC">
      <w:pPr>
        <w:pStyle w:val="ListBullet2"/>
      </w:pPr>
      <w:r w:rsidRPr="00511EEC">
        <w:t>use of measuring and alignment equipment</w:t>
      </w:r>
    </w:p>
    <w:p w:rsidR="00000000" w:rsidRPr="00511EEC" w:rsidP="00511EEC">
      <w:pPr>
        <w:pStyle w:val="ListBullet"/>
      </w:pPr>
      <w:r w:rsidRPr="00511EEC">
        <w:t>repair techniques, including:</w:t>
      </w:r>
    </w:p>
    <w:p w:rsidR="00000000" w:rsidRPr="00511EEC" w:rsidP="00511EEC">
      <w:pPr>
        <w:pStyle w:val="ListBullet2"/>
      </w:pPr>
      <w:r w:rsidRPr="00511EEC">
        <w:t>panel beating, welding, mechan</w:t>
      </w:r>
      <w:r w:rsidRPr="00511EEC">
        <w:t>ical fastening, riveting, removing and aligning vehicle body sections</w:t>
      </w:r>
    </w:p>
    <w:p w:rsidR="00000000" w:rsidRPr="00511EEC" w:rsidP="00511EEC">
      <w:pPr>
        <w:pStyle w:val="ListBullet2"/>
      </w:pPr>
      <w:r w:rsidRPr="00511EEC">
        <w:t>correct use of tools and equipment, including hydraulic or pneumatic repair equipment</w:t>
      </w:r>
    </w:p>
    <w:p w:rsidR="00000000" w:rsidRPr="00511EEC" w:rsidP="00511EEC">
      <w:pPr>
        <w:pStyle w:val="ListBullet2"/>
      </w:pPr>
      <w:r w:rsidRPr="00511EEC">
        <w:t>digital and non-digital measuring equipment and dedicated jigs</w:t>
      </w:r>
    </w:p>
    <w:p w:rsidR="00000000" w:rsidRPr="00511EEC" w:rsidP="00511EEC">
      <w:pPr>
        <w:pStyle w:val="ListBullet2"/>
      </w:pPr>
      <w:r w:rsidRPr="00511EEC">
        <w:t>welding techniques</w:t>
      </w:r>
    </w:p>
    <w:p w:rsidR="00000000" w:rsidRPr="00511EEC" w:rsidP="00511EEC">
      <w:pPr>
        <w:pStyle w:val="ListBullet2"/>
      </w:pPr>
      <w:r w:rsidRPr="00511EEC">
        <w:t xml:space="preserve">hydraulic reforming </w:t>
      </w:r>
    </w:p>
    <w:p w:rsidR="00000000" w:rsidRPr="00511EEC" w:rsidP="00511EEC">
      <w:pPr>
        <w:pStyle w:val="ListBullet"/>
      </w:pPr>
      <w:r w:rsidRPr="00511EEC">
        <w:t>procedures for final inspection of vehicle body misalignment repair.</w:t>
      </w:r>
    </w:p>
    <w:p w:rsidR="00000000" w:rsidRPr="00511EEC" w:rsidP="00511EEC">
      <w:pPr>
        <w:pStyle w:val="AllowPageBreak"/>
      </w:pPr>
    </w:p>
    <w:p w:rsidR="00000000" w:rsidRPr="00511EEC" w:rsidP="00511EEC">
      <w:pPr>
        <w:pStyle w:val="Heading1"/>
      </w:pPr>
      <w:bookmarkStart w:id="4" w:name="O_803824"/>
      <w:bookmarkEnd w:id="4"/>
      <w:r w:rsidRPr="00511EEC">
        <w:t>Assessment Conditions</w:t>
      </w:r>
    </w:p>
    <w:p w:rsidR="00000000" w:rsidRPr="00511EEC" w:rsidP="00CC6003">
      <w:pPr>
        <w:pStyle w:val="BodyText"/>
      </w:pPr>
      <w:r w:rsidRPr="00511EEC">
        <w:t>Assessors must satisfy NVR/AQTF assessor requirements.</w:t>
      </w:r>
    </w:p>
    <w:p w:rsidR="00000000" w:rsidRPr="00511EEC" w:rsidP="00CC6003">
      <w:pPr>
        <w:pStyle w:val="BodyText"/>
      </w:pPr>
      <w:r w:rsidRPr="00511EEC">
        <w:t>Competency is to be assessed in the workplace or a simulated environme</w:t>
      </w:r>
      <w:r w:rsidRPr="00511EEC">
        <w:t>nt that accurately reflects performance in a real workplace setting.</w:t>
      </w:r>
    </w:p>
    <w:p w:rsidR="00000000" w:rsidRPr="00511EEC" w:rsidP="00CC6003">
      <w:pPr>
        <w:pStyle w:val="BodyText"/>
      </w:pPr>
      <w:r w:rsidRPr="00511EEC">
        <w:t>Assessment must include direct observation of tasks.</w:t>
      </w:r>
    </w:p>
    <w:p w:rsidR="00000000" w:rsidRPr="00511EEC" w:rsidP="00CC6003">
      <w:pPr>
        <w:pStyle w:val="BodyText"/>
      </w:pPr>
      <w:r w:rsidRPr="00511EEC">
        <w:t>Where assessment of competency includes third-party evidence, individuals must provide evidence that links them to the vehicle misal</w:t>
      </w:r>
      <w:r w:rsidRPr="00511EEC">
        <w:t>ignments that they have repaired, e.g. repair orders.</w:t>
      </w:r>
    </w:p>
    <w:p w:rsidR="00000000" w:rsidRPr="00511EEC" w:rsidP="00CC6003">
      <w:pPr>
        <w:pStyle w:val="BodyText"/>
      </w:pPr>
      <w:r w:rsidRPr="00511EEC">
        <w:t>Assessors must verify performance evidence through questioning on skills and knowledge to ensure correct interpretation and application.</w:t>
      </w:r>
    </w:p>
    <w:p w:rsidR="00000000" w:rsidRPr="00511EEC" w:rsidP="00CC6003">
      <w:pPr>
        <w:pStyle w:val="BodyText"/>
      </w:pPr>
      <w:r w:rsidRPr="00511EEC">
        <w:t>The following resources must be made available:</w:t>
      </w:r>
    </w:p>
    <w:p w:rsidR="00000000" w:rsidRPr="00511EEC" w:rsidP="00511EEC">
      <w:pPr>
        <w:pStyle w:val="ListBullet"/>
      </w:pPr>
      <w:r w:rsidRPr="00511EEC">
        <w:t>automotive repair workplace or simulated workplace</w:t>
      </w:r>
    </w:p>
    <w:p w:rsidR="00000000" w:rsidRPr="00511EEC" w:rsidP="00511EEC">
      <w:pPr>
        <w:pStyle w:val="ListBullet"/>
      </w:pPr>
      <w:r w:rsidRPr="00511EEC">
        <w:t>workplace instructions</w:t>
      </w:r>
    </w:p>
    <w:p w:rsidR="00000000" w:rsidRPr="00511EEC" w:rsidP="00511EEC">
      <w:pPr>
        <w:pStyle w:val="ListBullet"/>
      </w:pPr>
      <w:r w:rsidRPr="00511EEC">
        <w:t>PPE required to repair vehicle body misalignment</w:t>
      </w:r>
    </w:p>
    <w:p w:rsidR="00000000" w:rsidRPr="00511EEC" w:rsidP="00511EEC">
      <w:pPr>
        <w:pStyle w:val="ListBullet"/>
      </w:pPr>
      <w:r w:rsidRPr="00511EEC">
        <w:t>OEM or authorised agency repair procedures</w:t>
      </w:r>
    </w:p>
    <w:p w:rsidR="00000000" w:rsidRPr="00511EEC" w:rsidP="00511EEC">
      <w:pPr>
        <w:pStyle w:val="ListBullet"/>
      </w:pPr>
      <w:r w:rsidRPr="00511EEC">
        <w:t>vehicle specifications</w:t>
      </w:r>
    </w:p>
    <w:p w:rsidR="00000000" w:rsidRPr="00511EEC" w:rsidP="00511EEC">
      <w:pPr>
        <w:pStyle w:val="ListBullet"/>
      </w:pPr>
      <w:r w:rsidRPr="00511EEC">
        <w:t>welding equipment</w:t>
      </w:r>
    </w:p>
    <w:p w:rsidR="00000000" w:rsidRPr="00511EEC" w:rsidP="00511EEC">
      <w:pPr>
        <w:pStyle w:val="ListBullet"/>
      </w:pPr>
      <w:r w:rsidRPr="00511EEC">
        <w:t>measuring system</w:t>
      </w:r>
    </w:p>
    <w:p w:rsidR="00000000" w:rsidRPr="00511EEC" w:rsidP="00511EEC">
      <w:pPr>
        <w:pStyle w:val="ListBullet"/>
      </w:pPr>
      <w:r w:rsidRPr="00511EEC">
        <w:t>straightening equipment</w:t>
      </w:r>
    </w:p>
    <w:p w:rsidR="00000000" w:rsidRPr="00511EEC" w:rsidP="00511EEC">
      <w:pPr>
        <w:pStyle w:val="ListBullet"/>
      </w:pPr>
      <w:r w:rsidRPr="00511EEC">
        <w:t>two misa</w:t>
      </w:r>
      <w:r w:rsidRPr="00511EEC">
        <w:t xml:space="preserve">ligned vehicle body sections as specified in the performance evidence </w:t>
      </w:r>
    </w:p>
    <w:p w:rsidR="00000000" w:rsidRPr="00511EEC" w:rsidP="00511EEC">
      <w:pPr>
        <w:pStyle w:val="ListBullet"/>
      </w:pPr>
      <w:r w:rsidRPr="00511EEC">
        <w:t>tools, equipment and materials appropriate for repairing vehicle misalignment.</w:t>
      </w:r>
    </w:p>
    <w:p w:rsidR="00000000" w:rsidRPr="00511EEC" w:rsidP="00511EEC">
      <w:pPr>
        <w:pStyle w:val="AllowPageBreak"/>
      </w:pPr>
    </w:p>
    <w:p w:rsidR="00000000" w:rsidRPr="00511EEC" w:rsidP="00511EEC">
      <w:pPr>
        <w:pStyle w:val="Heading1"/>
      </w:pPr>
      <w:bookmarkStart w:id="5" w:name="O_803827"/>
      <w:bookmarkEnd w:id="5"/>
      <w:r w:rsidRPr="00511EEC">
        <w:t>Links</w:t>
      </w:r>
    </w:p>
    <w:p w:rsidR="00000000" w:rsidRPr="00511EEC" w:rsidP="00CC6003">
      <w:pPr>
        <w:pStyle w:val="BodyText"/>
      </w:pPr>
      <w:r w:rsidRPr="00511E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34A9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11EEC" w:rsidP="00CC6003">
      <w:pPr>
        <w:pStyle w:val="BodyText"/>
      </w:pPr>
      <w:r w:rsidRPr="00511E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34A9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11EEC" w:rsidP="00511EEC"/>
    <w:sectPr w:rsidSect="00511E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E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EEC" w:rsidRPr="00CC6003" w:rsidP="00CC60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E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003" w:rsidP="00511E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6003" w:rsidP="00511E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CC6003" w:rsidP="00511E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E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0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1EEC" w:rsidRPr="00CC6003" w:rsidP="00CC60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E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003" w:rsidRPr="002D2AF8" w:rsidP="00511E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AURVTN022 Repair vehicle body misalignment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CC6003" w:rsidP="00511E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E840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9EF3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1676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1E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1E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1E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1E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1E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1E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1E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1E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1E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1E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1E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1EEC"/>
  </w:style>
  <w:style w:type="character" w:customStyle="1" w:styleId="Heading1Char">
    <w:name w:val="Heading 1 Char"/>
    <w:basedOn w:val="DefaultParagraphFont"/>
    <w:link w:val="Heading1"/>
    <w:rsid w:val="00511E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1E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1E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1EE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1EEC"/>
    <w:rPr>
      <w:b/>
      <w:spacing w:val="0"/>
    </w:rPr>
  </w:style>
  <w:style w:type="paragraph" w:styleId="ListBullet2">
    <w:name w:val="List Bullet 2"/>
    <w:basedOn w:val="List2"/>
    <w:rsid w:val="00511EE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11E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1E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1E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1E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1E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1E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1E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1E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1E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1E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1E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1E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1E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1E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1E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1E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1E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1E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1E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1E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1E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1E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1E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1E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1E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1E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1E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1E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1E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1E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1E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1E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1E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1E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1EEC"/>
    <w:rPr>
      <w:i/>
    </w:rPr>
  </w:style>
  <w:style w:type="paragraph" w:styleId="Caption">
    <w:name w:val="caption"/>
    <w:basedOn w:val="BodyText"/>
    <w:next w:val="Normal"/>
    <w:qFormat/>
    <w:rsid w:val="00511E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1E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1E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1EEC"/>
  </w:style>
  <w:style w:type="paragraph" w:styleId="TableofFigures">
    <w:name w:val="table of figures"/>
    <w:basedOn w:val="Normal"/>
    <w:next w:val="Normal"/>
    <w:semiHidden/>
    <w:rsid w:val="00511E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1EE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1EEC"/>
    <w:rPr>
      <w:rFonts w:ascii="Wingdings" w:hAnsi="Wingdings"/>
    </w:rPr>
  </w:style>
  <w:style w:type="paragraph" w:customStyle="1" w:styleId="TableHeading">
    <w:name w:val="Table Heading"/>
    <w:basedOn w:val="HeadingBase"/>
    <w:rsid w:val="00511E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1EEC"/>
    <w:rPr>
      <w:color w:val="0033CC"/>
      <w:u w:val="none"/>
    </w:rPr>
  </w:style>
  <w:style w:type="paragraph" w:customStyle="1" w:styleId="BodyTextRight">
    <w:name w:val="Body Text Right"/>
    <w:basedOn w:val="BodyText"/>
    <w:rsid w:val="00511E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1E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1E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1E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1E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1E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1EEC"/>
    <w:rPr>
      <w:sz w:val="32"/>
    </w:rPr>
  </w:style>
  <w:style w:type="paragraph" w:customStyle="1" w:styleId="HeadingProcedure">
    <w:name w:val="Heading Procedure"/>
    <w:basedOn w:val="HeadingBase"/>
    <w:next w:val="Normal"/>
    <w:rsid w:val="00511E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1EEC"/>
    <w:pPr>
      <w:spacing w:before="60" w:after="60"/>
    </w:pPr>
  </w:style>
  <w:style w:type="paragraph" w:styleId="ListContinue">
    <w:name w:val="List Continue"/>
    <w:basedOn w:val="List"/>
    <w:rsid w:val="00511EEC"/>
    <w:pPr>
      <w:ind w:firstLine="0"/>
    </w:pPr>
  </w:style>
  <w:style w:type="paragraph" w:customStyle="1" w:styleId="ListNote">
    <w:name w:val="List Note"/>
    <w:basedOn w:val="List"/>
    <w:rsid w:val="00511E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1E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1E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1EEC"/>
    <w:rPr>
      <w:rFonts w:ascii="Courier New" w:hAnsi="Courier New"/>
    </w:rPr>
  </w:style>
  <w:style w:type="paragraph" w:customStyle="1" w:styleId="NoteBullet">
    <w:name w:val="Note Bullet"/>
    <w:basedOn w:val="Note"/>
    <w:rsid w:val="00511E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1E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1E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1E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1E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1E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1E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1EEC"/>
    <w:rPr>
      <w:b/>
      <w:smallCaps/>
    </w:rPr>
  </w:style>
  <w:style w:type="paragraph" w:customStyle="1" w:styleId="TableListNumber">
    <w:name w:val="Table List Number"/>
    <w:basedOn w:val="ListNumber"/>
    <w:rsid w:val="00511E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1E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1EEC"/>
    <w:pPr>
      <w:numPr>
        <w:numId w:val="9"/>
      </w:numPr>
    </w:pPr>
  </w:style>
  <w:style w:type="paragraph" w:customStyle="1" w:styleId="ListAlpha2">
    <w:name w:val="List Alpha 2"/>
    <w:basedOn w:val="List2"/>
    <w:rsid w:val="00511EEC"/>
    <w:pPr>
      <w:numPr>
        <w:numId w:val="8"/>
      </w:numPr>
    </w:pPr>
  </w:style>
  <w:style w:type="paragraph" w:styleId="List2">
    <w:name w:val="List 2"/>
    <w:basedOn w:val="BodyText"/>
    <w:rsid w:val="00511E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1E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1E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1E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1E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1E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1EEC"/>
    <w:pPr>
      <w:numPr>
        <w:numId w:val="4"/>
      </w:numPr>
    </w:pPr>
  </w:style>
  <w:style w:type="paragraph" w:styleId="ListContinue2">
    <w:name w:val="List Continue 2"/>
    <w:basedOn w:val="List2"/>
    <w:rsid w:val="00511EEC"/>
    <w:pPr>
      <w:ind w:firstLine="0"/>
    </w:pPr>
  </w:style>
  <w:style w:type="paragraph" w:styleId="ListContinue3">
    <w:name w:val="List Continue 3"/>
    <w:basedOn w:val="List3"/>
    <w:rsid w:val="00511EEC"/>
    <w:pPr>
      <w:ind w:left="1021" w:firstLine="0"/>
    </w:pPr>
  </w:style>
  <w:style w:type="paragraph" w:styleId="ListContinue4">
    <w:name w:val="List Continue 4"/>
    <w:basedOn w:val="List4"/>
    <w:rsid w:val="00511EEC"/>
    <w:pPr>
      <w:ind w:firstLine="0"/>
    </w:pPr>
  </w:style>
  <w:style w:type="paragraph" w:styleId="ListContinue5">
    <w:name w:val="List Continue 5"/>
    <w:basedOn w:val="List5"/>
    <w:rsid w:val="00511EEC"/>
    <w:pPr>
      <w:ind w:firstLine="0"/>
    </w:pPr>
  </w:style>
  <w:style w:type="paragraph" w:styleId="ListNumber3">
    <w:name w:val="List Number 3"/>
    <w:basedOn w:val="List3"/>
    <w:rsid w:val="00511EEC"/>
    <w:pPr>
      <w:numPr>
        <w:numId w:val="5"/>
      </w:numPr>
    </w:pPr>
  </w:style>
  <w:style w:type="paragraph" w:styleId="ListNumber4">
    <w:name w:val="List Number 4"/>
    <w:basedOn w:val="List4"/>
    <w:rsid w:val="00511EEC"/>
    <w:pPr>
      <w:numPr>
        <w:numId w:val="6"/>
      </w:numPr>
    </w:pPr>
  </w:style>
  <w:style w:type="paragraph" w:styleId="ListNumber5">
    <w:name w:val="List Number 5"/>
    <w:basedOn w:val="List5"/>
    <w:rsid w:val="00511EEC"/>
    <w:pPr>
      <w:numPr>
        <w:numId w:val="7"/>
      </w:numPr>
    </w:pPr>
  </w:style>
  <w:style w:type="paragraph" w:styleId="BlockText">
    <w:name w:val="Block Text"/>
    <w:basedOn w:val="Normal"/>
    <w:rsid w:val="00511E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1E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1EEC"/>
    <w:rPr>
      <w:sz w:val="16"/>
      <w:vertAlign w:val="superscript"/>
    </w:rPr>
  </w:style>
  <w:style w:type="character" w:customStyle="1" w:styleId="Symbols">
    <w:name w:val="Symbols"/>
    <w:basedOn w:val="DefaultParagraphFont"/>
    <w:rsid w:val="00511EEC"/>
    <w:rPr>
      <w:rFonts w:ascii="Symbol" w:hAnsi="Symbol"/>
    </w:rPr>
  </w:style>
  <w:style w:type="character" w:customStyle="1" w:styleId="MenuOptions">
    <w:name w:val="Menu Options"/>
    <w:basedOn w:val="DefaultParagraphFont"/>
    <w:rsid w:val="00511E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1EEC"/>
    <w:rPr>
      <w:b/>
    </w:rPr>
  </w:style>
  <w:style w:type="character" w:customStyle="1" w:styleId="Underlined">
    <w:name w:val="Underlined"/>
    <w:basedOn w:val="DefaultParagraphFont"/>
    <w:rsid w:val="00511EEC"/>
    <w:rPr>
      <w:u w:val="single"/>
    </w:rPr>
  </w:style>
  <w:style w:type="paragraph" w:customStyle="1" w:styleId="TableBodyTextRight">
    <w:name w:val="Table Body Text Right"/>
    <w:basedOn w:val="TableBodyText"/>
    <w:rsid w:val="00511E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1EEC"/>
    <w:rPr>
      <w:sz w:val="18"/>
    </w:rPr>
  </w:style>
  <w:style w:type="paragraph" w:customStyle="1" w:styleId="BodySmallRight">
    <w:name w:val="Body Small Right"/>
    <w:basedOn w:val="BodyTextRight"/>
    <w:rsid w:val="00511EEC"/>
    <w:rPr>
      <w:sz w:val="18"/>
      <w:szCs w:val="18"/>
    </w:rPr>
  </w:style>
  <w:style w:type="paragraph" w:customStyle="1" w:styleId="MarginEdition">
    <w:name w:val="Margin Edition"/>
    <w:basedOn w:val="MarginNote"/>
    <w:rsid w:val="00511E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1EEC"/>
    <w:rPr>
      <w:sz w:val="2"/>
      <w:szCs w:val="2"/>
    </w:rPr>
  </w:style>
  <w:style w:type="character" w:customStyle="1" w:styleId="Small">
    <w:name w:val="Small"/>
    <w:basedOn w:val="DefaultParagraphFont"/>
    <w:rsid w:val="00511EEC"/>
    <w:rPr>
      <w:sz w:val="16"/>
    </w:rPr>
  </w:style>
  <w:style w:type="paragraph" w:customStyle="1" w:styleId="WideTable">
    <w:name w:val="Wide Table"/>
    <w:basedOn w:val="Normal"/>
    <w:rsid w:val="00511E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1EEC"/>
  </w:style>
  <w:style w:type="paragraph" w:styleId="Quote">
    <w:name w:val="Quote"/>
    <w:basedOn w:val="Heading1"/>
    <w:link w:val="QuoteChar"/>
    <w:qFormat/>
    <w:rsid w:val="00511E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1E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1EEC"/>
    <w:pPr>
      <w:pageBreakBefore/>
    </w:pPr>
  </w:style>
  <w:style w:type="paragraph" w:customStyle="1" w:styleId="Border">
    <w:name w:val="Border"/>
    <w:basedOn w:val="Normal"/>
    <w:qFormat/>
    <w:rsid w:val="00511E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1E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1E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1E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1E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1E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1E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1E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1E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1EEC"/>
    <w:rPr>
      <w:u w:val="single"/>
    </w:rPr>
  </w:style>
  <w:style w:type="character" w:customStyle="1" w:styleId="BoldandItalics">
    <w:name w:val="Bold and Italics"/>
    <w:qFormat/>
    <w:rsid w:val="00511EEC"/>
    <w:rPr>
      <w:b/>
      <w:i/>
      <w:u w:val="none"/>
    </w:rPr>
  </w:style>
  <w:style w:type="paragraph" w:styleId="BalloonText">
    <w:name w:val="Balloon Text"/>
    <w:basedOn w:val="Normal"/>
    <w:link w:val="BalloonTextChar"/>
    <w:rsid w:val="00511E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1E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1E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1E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1E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1E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1EEC"/>
    <w:pPr>
      <w:spacing w:before="0" w:after="0"/>
    </w:pPr>
  </w:style>
  <w:style w:type="paragraph" w:customStyle="1" w:styleId="BodyTextBold">
    <w:name w:val="Body Text Bold"/>
    <w:basedOn w:val="BodyText"/>
    <w:qFormat/>
    <w:rsid w:val="00511EEC"/>
    <w:rPr>
      <w:b/>
    </w:rPr>
  </w:style>
  <w:style w:type="character" w:styleId="Hyperlink">
    <w:name w:val="Hyperlink"/>
    <w:basedOn w:val="DefaultParagraphFont"/>
    <w:uiPriority w:val="99"/>
    <w:unhideWhenUsed/>
    <w:rsid w:val="00CC60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446</Words>
  <Characters>3207</Characters>
  <Application>Microsoft Office Word</Application>
  <DocSecurity>0</DocSecurity>
  <Lines>97</Lines>
  <Paragraphs>77</Paragraphs>
  <ScaleCrop>false</ScaleCrop>
  <Company>Author-it Software Corporation Ltd.</Company>
  <LinksUpToDate>false</LinksUpToDate>
  <CharactersWithSpaces>3576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AURVTN022 Repair vehicle body misalignment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2023-12-19T06:46:00Z</dcterms:created>
  <dcterms:modified xsi:type="dcterms:W3CDTF">2023-12-19T06:46:00Z</dcterms:modified>
</cp:coreProperties>
</file>