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357" w:rsidP="00C45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AURVTN002 Carry out non-structural vehicle panel repairs</w:t>
      </w:r>
      <w:r>
        <w:fldChar w:fldCharType="end"/>
      </w:r>
    </w:p>
    <w:p w:rsidR="00C45357" w:rsidP="00C45357">
      <w:pPr>
        <w:pStyle w:val="Version"/>
        <w:sectPr w:rsidSect="00C22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1E1" w:rsidP="00C221E1">
      <w:pPr>
        <w:pStyle w:val="SuperHeading"/>
      </w:pPr>
      <w:r w:rsidRPr="00C221E1">
        <w:t>Assessment Requirements for AURVTN002 Carry out non-structural vehicle panel repairs</w:t>
      </w:r>
    </w:p>
    <w:p w:rsidR="00000000" w:rsidRPr="00C221E1" w:rsidP="00C221E1">
      <w:pPr>
        <w:pStyle w:val="Heading1"/>
      </w:pPr>
      <w:bookmarkStart w:id="1" w:name="O_803460"/>
      <w:bookmarkEnd w:id="1"/>
      <w:r w:rsidRPr="00C221E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53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1E1" w:rsidP="00C221E1">
            <w:pPr>
              <w:pStyle w:val="BodyText"/>
            </w:pPr>
            <w:r w:rsidRPr="00C221E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1E1">
            <w:pPr>
              <w:pStyle w:val="BodyText"/>
              <w:rPr>
                <w:lang w:val="en-NZ"/>
              </w:rPr>
            </w:pPr>
            <w:r w:rsidRPr="00C221E1">
              <w:rPr>
                <w:rStyle w:val="SpecialBold"/>
              </w:rPr>
              <w:t>Comment</w:t>
            </w:r>
          </w:p>
        </w:tc>
      </w:tr>
      <w:tr w:rsidTr="00C453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1E1">
            <w:pPr>
              <w:pStyle w:val="BodyText"/>
              <w:rPr>
                <w:lang w:val="en-NZ"/>
              </w:rPr>
            </w:pPr>
            <w:r w:rsidRPr="00C221E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1E1" w:rsidP="00C221E1">
            <w:pPr>
              <w:pStyle w:val="BodyText"/>
            </w:pPr>
            <w:r w:rsidRPr="00C221E1">
              <w:t>New unit of competency.</w:t>
            </w:r>
          </w:p>
        </w:tc>
      </w:tr>
    </w:tbl>
    <w:p w:rsidR="00000000" w:rsidRPr="00C221E1" w:rsidP="00C221E1">
      <w:pPr>
        <w:pStyle w:val="BodyText"/>
      </w:pPr>
    </w:p>
    <w:p w:rsidR="00000000" w:rsidRPr="00C221E1" w:rsidP="00C221E1">
      <w:pPr>
        <w:pStyle w:val="AllowPageBreak"/>
      </w:pPr>
    </w:p>
    <w:p w:rsidR="00000000" w:rsidRPr="00C221E1" w:rsidP="00C221E1">
      <w:pPr>
        <w:pStyle w:val="Heading1"/>
      </w:pPr>
      <w:bookmarkStart w:id="2" w:name="O_803461"/>
      <w:bookmarkEnd w:id="2"/>
      <w:r w:rsidRPr="00C221E1">
        <w:t>Performance Evidence</w:t>
      </w:r>
    </w:p>
    <w:p w:rsidR="00000000" w:rsidRPr="00C221E1" w:rsidP="00C45357">
      <w:pPr>
        <w:pStyle w:val="BodyText"/>
      </w:pPr>
      <w:r w:rsidRPr="00C221E1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221E1" w:rsidP="00C221E1">
      <w:pPr>
        <w:pStyle w:val="ListBullet"/>
      </w:pPr>
      <w:r w:rsidRPr="00C221E1">
        <w:t>carry out non-structural vehicle p</w:t>
      </w:r>
      <w:r w:rsidRPr="00C221E1">
        <w:t>anel repairs on three different vehicles.</w:t>
      </w:r>
    </w:p>
    <w:p w:rsidR="00000000" w:rsidRPr="00C221E1" w:rsidP="00C221E1">
      <w:pPr>
        <w:pStyle w:val="AllowPageBreak"/>
      </w:pPr>
    </w:p>
    <w:p w:rsidR="00000000" w:rsidRPr="00C221E1" w:rsidP="00C221E1">
      <w:pPr>
        <w:pStyle w:val="Heading1"/>
      </w:pPr>
      <w:bookmarkStart w:id="3" w:name="O_803462"/>
      <w:bookmarkEnd w:id="3"/>
      <w:r w:rsidRPr="00C221E1">
        <w:t>Knowledge Evidence</w:t>
      </w:r>
    </w:p>
    <w:p w:rsidR="00000000" w:rsidRPr="00C221E1" w:rsidP="00C45357">
      <w:pPr>
        <w:pStyle w:val="BodyText"/>
      </w:pPr>
      <w:r w:rsidRPr="00C221E1">
        <w:t>Individuals must be able to demonstrate knowledge of:</w:t>
      </w:r>
    </w:p>
    <w:p w:rsidR="00000000" w:rsidRPr="00C221E1" w:rsidP="00C221E1">
      <w:pPr>
        <w:pStyle w:val="ListBullet"/>
      </w:pPr>
      <w:r w:rsidRPr="00C221E1">
        <w:t xml:space="preserve">work health and safety (WHS) and occupational health and safety (OHS) requirements </w:t>
      </w:r>
      <w:r w:rsidRPr="00C221E1">
        <w:t>relating to carrying out non-structural vehicle panel repairs, including procedures for:</w:t>
      </w:r>
    </w:p>
    <w:p w:rsidR="00000000" w:rsidRPr="00C221E1" w:rsidP="00C221E1">
      <w:pPr>
        <w:pStyle w:val="ListBullet2"/>
      </w:pPr>
      <w:r w:rsidRPr="00C221E1">
        <w:t>selecting and using personal protective equipment (PPE)</w:t>
      </w:r>
    </w:p>
    <w:p w:rsidR="00000000" w:rsidRPr="00C221E1" w:rsidP="00C221E1">
      <w:pPr>
        <w:pStyle w:val="ListBullet2"/>
      </w:pPr>
      <w:r w:rsidRPr="00C221E1">
        <w:t xml:space="preserve">manually handling vehicle panels </w:t>
      </w:r>
    </w:p>
    <w:p w:rsidR="00000000" w:rsidRPr="00C221E1" w:rsidP="00C221E1">
      <w:pPr>
        <w:pStyle w:val="ListBullet2"/>
      </w:pPr>
      <w:r w:rsidRPr="00C221E1">
        <w:t>using tools and equipment</w:t>
      </w:r>
    </w:p>
    <w:p w:rsidR="00000000" w:rsidRPr="00C221E1" w:rsidP="00C221E1">
      <w:pPr>
        <w:pStyle w:val="ListBullet"/>
      </w:pPr>
      <w:r w:rsidRPr="00C221E1">
        <w:t xml:space="preserve">environmental requirements, including procedures </w:t>
      </w:r>
      <w:r w:rsidRPr="00C221E1">
        <w:t>for trapping, storing and disposing of waste materials</w:t>
      </w:r>
    </w:p>
    <w:p w:rsidR="00000000" w:rsidRPr="00C221E1" w:rsidP="00C221E1">
      <w:pPr>
        <w:pStyle w:val="ListBullet"/>
      </w:pPr>
      <w:r w:rsidRPr="00C221E1">
        <w:t>panel repair methods and techniques, including:</w:t>
      </w:r>
    </w:p>
    <w:p w:rsidR="00000000" w:rsidRPr="00C221E1" w:rsidP="00C221E1">
      <w:pPr>
        <w:pStyle w:val="ListBullet2"/>
      </w:pPr>
      <w:r w:rsidRPr="00C221E1">
        <w:t>panel repair tools, equipment and materials</w:t>
      </w:r>
    </w:p>
    <w:p w:rsidR="00000000" w:rsidRPr="00C221E1" w:rsidP="00C221E1">
      <w:pPr>
        <w:pStyle w:val="ListBullet2"/>
      </w:pPr>
      <w:r w:rsidRPr="00C221E1">
        <w:t>panel beating techniques</w:t>
      </w:r>
    </w:p>
    <w:p w:rsidR="00000000" w:rsidRPr="00C221E1" w:rsidP="00C221E1">
      <w:pPr>
        <w:pStyle w:val="ListBullet2"/>
      </w:pPr>
      <w:r w:rsidRPr="00C221E1">
        <w:t>body filler types and recommended applications</w:t>
      </w:r>
    </w:p>
    <w:p w:rsidR="00000000" w:rsidRPr="00C221E1" w:rsidP="00C221E1">
      <w:pPr>
        <w:pStyle w:val="ListBullet2"/>
      </w:pPr>
      <w:r w:rsidRPr="00C221E1">
        <w:t>abrasive grades and types</w:t>
      </w:r>
    </w:p>
    <w:p w:rsidR="00000000" w:rsidRPr="00C221E1" w:rsidP="00C221E1">
      <w:pPr>
        <w:pStyle w:val="ListBullet2"/>
      </w:pPr>
      <w:r w:rsidRPr="00C221E1">
        <w:t>body fille</w:t>
      </w:r>
      <w:r w:rsidRPr="00C221E1">
        <w:t>r finishing procedures</w:t>
      </w:r>
    </w:p>
    <w:p w:rsidR="00000000" w:rsidRPr="00C221E1" w:rsidP="00C221E1">
      <w:pPr>
        <w:pStyle w:val="ListBullet2"/>
      </w:pPr>
      <w:r w:rsidRPr="00C221E1">
        <w:t xml:space="preserve">repair quality requirements to pre-paint condition </w:t>
      </w:r>
    </w:p>
    <w:p w:rsidR="00000000" w:rsidRPr="00C221E1" w:rsidP="00C221E1">
      <w:pPr>
        <w:pStyle w:val="ListBullet"/>
      </w:pPr>
      <w:r w:rsidRPr="00C221E1">
        <w:t>procedures for final inspection of completed non-structural panel repairs.</w:t>
      </w:r>
    </w:p>
    <w:p w:rsidR="00000000" w:rsidRPr="00C221E1" w:rsidP="00C221E1">
      <w:pPr>
        <w:pStyle w:val="AllowPageBreak"/>
      </w:pPr>
    </w:p>
    <w:p w:rsidR="00000000" w:rsidRPr="00C221E1" w:rsidP="00C221E1">
      <w:pPr>
        <w:pStyle w:val="Heading1"/>
      </w:pPr>
      <w:bookmarkStart w:id="4" w:name="O_803463"/>
      <w:bookmarkEnd w:id="4"/>
      <w:r w:rsidRPr="00C221E1">
        <w:t>Assessment Conditions</w:t>
      </w:r>
    </w:p>
    <w:p w:rsidR="00000000" w:rsidRPr="00C221E1" w:rsidP="00C45357">
      <w:pPr>
        <w:pStyle w:val="BodyText"/>
      </w:pPr>
      <w:r w:rsidRPr="00C221E1">
        <w:t>Assessors must satisfy NVR/AQTF assessor requirements.</w:t>
      </w:r>
    </w:p>
    <w:p w:rsidR="00000000" w:rsidRPr="00C221E1" w:rsidP="00C45357">
      <w:pPr>
        <w:pStyle w:val="BodyText"/>
      </w:pPr>
      <w:r w:rsidRPr="00C221E1">
        <w:t>Competency is to be assessed in the workplace or a simulated environment that accurately reflects performance in a real workplace setting.</w:t>
      </w:r>
    </w:p>
    <w:p w:rsidR="00000000" w:rsidRPr="00C221E1" w:rsidP="00C45357">
      <w:pPr>
        <w:pStyle w:val="BodyText"/>
      </w:pPr>
      <w:r w:rsidRPr="00C221E1">
        <w:t>Assessment must include direct observation of tasks.</w:t>
      </w:r>
    </w:p>
    <w:p w:rsidR="00000000" w:rsidRPr="00C221E1" w:rsidP="00C45357">
      <w:pPr>
        <w:pStyle w:val="BodyText"/>
      </w:pPr>
      <w:r w:rsidRPr="00C221E1">
        <w:t xml:space="preserve">Where assessment of competency includes third-party evidence, </w:t>
      </w:r>
      <w:r w:rsidRPr="00C221E1">
        <w:t>individuals must provide evidence that links them to the non-structural panel repairs that they have carried out, e.g. repair orders.</w:t>
      </w:r>
    </w:p>
    <w:p w:rsidR="00000000" w:rsidRPr="00C221E1" w:rsidP="00C45357">
      <w:pPr>
        <w:pStyle w:val="BodyText"/>
      </w:pPr>
      <w:r w:rsidRPr="00C221E1">
        <w:t>Assessors must verify performance evidence through questioning on skills and knowledge to ensure correct interpretation a</w:t>
      </w:r>
      <w:r w:rsidRPr="00C221E1">
        <w:t>nd application.</w:t>
      </w:r>
    </w:p>
    <w:p w:rsidR="00000000" w:rsidRPr="00C221E1" w:rsidP="00C45357">
      <w:pPr>
        <w:pStyle w:val="BodyText"/>
      </w:pPr>
      <w:r w:rsidRPr="00C221E1">
        <w:t>The following resources must be made available:</w:t>
      </w:r>
    </w:p>
    <w:p w:rsidR="00000000" w:rsidRPr="00C221E1" w:rsidP="00C221E1">
      <w:pPr>
        <w:pStyle w:val="ListBullet"/>
      </w:pPr>
      <w:r w:rsidRPr="00C221E1">
        <w:t>automotive repair workplace or simulated workplace</w:t>
      </w:r>
    </w:p>
    <w:p w:rsidR="00000000" w:rsidRPr="00C221E1" w:rsidP="00C221E1">
      <w:pPr>
        <w:pStyle w:val="ListBullet"/>
      </w:pPr>
      <w:r w:rsidRPr="00C221E1">
        <w:t>workplace instructions</w:t>
      </w:r>
    </w:p>
    <w:p w:rsidR="00000000" w:rsidRPr="00C221E1" w:rsidP="00C221E1">
      <w:pPr>
        <w:pStyle w:val="ListBullet"/>
      </w:pPr>
      <w:r w:rsidRPr="00C221E1">
        <w:t>original equipment manufacturer (OEM) and component supplier repair specifications</w:t>
      </w:r>
    </w:p>
    <w:p w:rsidR="00000000" w:rsidRPr="00C221E1" w:rsidP="00C221E1">
      <w:pPr>
        <w:pStyle w:val="ListBullet"/>
      </w:pPr>
      <w:r w:rsidRPr="00C221E1">
        <w:t>PPE to carry out non-structural vehicle panel repairs</w:t>
      </w:r>
    </w:p>
    <w:p w:rsidR="00000000" w:rsidRPr="00C221E1" w:rsidP="00C221E1">
      <w:pPr>
        <w:pStyle w:val="ListBullet"/>
      </w:pPr>
      <w:r w:rsidRPr="00C221E1">
        <w:t>three different vehicles with non-structural damage requiring repair</w:t>
      </w:r>
    </w:p>
    <w:p w:rsidR="00000000" w:rsidRPr="00C221E1" w:rsidP="00C221E1">
      <w:pPr>
        <w:pStyle w:val="ListBullet"/>
      </w:pPr>
      <w:r w:rsidRPr="00C221E1">
        <w:t xml:space="preserve">body filler </w:t>
      </w:r>
    </w:p>
    <w:p w:rsidR="00000000" w:rsidRPr="00C221E1" w:rsidP="00C221E1">
      <w:pPr>
        <w:pStyle w:val="ListBullet"/>
      </w:pPr>
      <w:r w:rsidRPr="00C221E1">
        <w:t>tools, equipment and materials appropriate for carrying out non-structural panel repairs.</w:t>
      </w:r>
    </w:p>
    <w:p w:rsidR="00000000" w:rsidRPr="00C221E1" w:rsidP="00C221E1">
      <w:pPr>
        <w:pStyle w:val="AllowPageBreak"/>
      </w:pPr>
    </w:p>
    <w:p w:rsidR="00000000" w:rsidRPr="00C221E1" w:rsidP="00C221E1">
      <w:pPr>
        <w:pStyle w:val="Heading1"/>
      </w:pPr>
      <w:bookmarkStart w:id="5" w:name="O_803466"/>
      <w:bookmarkEnd w:id="5"/>
      <w:r w:rsidRPr="00C221E1">
        <w:t>Links</w:t>
      </w:r>
    </w:p>
    <w:p w:rsidR="00000000" w:rsidRPr="00C221E1" w:rsidP="00C45357">
      <w:pPr>
        <w:pStyle w:val="BodyText"/>
      </w:pPr>
      <w:r w:rsidRPr="00C221E1">
        <w:t>Compani</w:t>
      </w:r>
      <w:r w:rsidRPr="00C221E1">
        <w:t xml:space="preserve">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51A4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221E1" w:rsidP="00C45357">
      <w:pPr>
        <w:pStyle w:val="BodyText"/>
      </w:pPr>
      <w:r w:rsidRPr="00C221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51A4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221E1" w:rsidP="00C221E1"/>
    <w:sectPr w:rsidSect="00C221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1" w:rsidRPr="00C45357" w:rsidP="00C45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57" w:rsidP="00C22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5357" w:rsidP="00C22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5357" w:rsidP="00C22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1E1" w:rsidRPr="00C45357" w:rsidP="00C45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57" w:rsidRPr="002D2AF8" w:rsidP="00C22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AURVTN002 Carry out non-structural vehicle panel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45357" w:rsidP="00C22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604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16A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23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1E1"/>
  </w:style>
  <w:style w:type="character" w:customStyle="1" w:styleId="Heading1Char">
    <w:name w:val="Heading 1 Char"/>
    <w:basedOn w:val="DefaultParagraphFont"/>
    <w:link w:val="Heading1"/>
    <w:rsid w:val="00C22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1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1E1"/>
    <w:rPr>
      <w:b/>
      <w:spacing w:val="0"/>
    </w:rPr>
  </w:style>
  <w:style w:type="paragraph" w:styleId="ListBullet2">
    <w:name w:val="List Bullet 2"/>
    <w:basedOn w:val="List2"/>
    <w:rsid w:val="00C221E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2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1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1E1"/>
    <w:rPr>
      <w:i/>
    </w:rPr>
  </w:style>
  <w:style w:type="paragraph" w:styleId="Caption">
    <w:name w:val="caption"/>
    <w:basedOn w:val="BodyText"/>
    <w:next w:val="Normal"/>
    <w:qFormat/>
    <w:rsid w:val="00C22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1E1"/>
  </w:style>
  <w:style w:type="paragraph" w:styleId="TableofFigures">
    <w:name w:val="table of figures"/>
    <w:basedOn w:val="Normal"/>
    <w:next w:val="Normal"/>
    <w:semiHidden/>
    <w:rsid w:val="00C22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1E1"/>
    <w:pPr>
      <w:numPr>
        <w:numId w:val="11"/>
      </w:numPr>
    </w:pPr>
  </w:style>
  <w:style w:type="character" w:customStyle="1" w:styleId="WingdingSymbols">
    <w:name w:val="Wingding Symbols"/>
    <w:rsid w:val="00C221E1"/>
    <w:rPr>
      <w:rFonts w:ascii="Wingdings" w:hAnsi="Wingdings"/>
    </w:rPr>
  </w:style>
  <w:style w:type="paragraph" w:customStyle="1" w:styleId="TableHeading">
    <w:name w:val="Table Heading"/>
    <w:basedOn w:val="HeadingBase"/>
    <w:rsid w:val="00C22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1E1"/>
    <w:rPr>
      <w:color w:val="0033CC"/>
      <w:u w:val="none"/>
    </w:rPr>
  </w:style>
  <w:style w:type="paragraph" w:customStyle="1" w:styleId="BodyTextRight">
    <w:name w:val="Body Text Right"/>
    <w:basedOn w:val="BodyText"/>
    <w:rsid w:val="00C22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1E1"/>
    <w:rPr>
      <w:sz w:val="32"/>
    </w:rPr>
  </w:style>
  <w:style w:type="paragraph" w:customStyle="1" w:styleId="HeadingProcedure">
    <w:name w:val="Heading Procedure"/>
    <w:basedOn w:val="HeadingBase"/>
    <w:next w:val="Normal"/>
    <w:rsid w:val="00C22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1E1"/>
    <w:pPr>
      <w:spacing w:before="60" w:after="60"/>
    </w:pPr>
  </w:style>
  <w:style w:type="paragraph" w:styleId="ListContinue">
    <w:name w:val="List Continue"/>
    <w:basedOn w:val="List"/>
    <w:rsid w:val="00C221E1"/>
    <w:pPr>
      <w:ind w:firstLine="0"/>
    </w:pPr>
  </w:style>
  <w:style w:type="paragraph" w:customStyle="1" w:styleId="ListNote">
    <w:name w:val="List Note"/>
    <w:basedOn w:val="List"/>
    <w:rsid w:val="00C22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1E1"/>
    <w:rPr>
      <w:rFonts w:ascii="Courier New" w:hAnsi="Courier New"/>
    </w:rPr>
  </w:style>
  <w:style w:type="paragraph" w:customStyle="1" w:styleId="NoteBullet">
    <w:name w:val="Note Bullet"/>
    <w:basedOn w:val="Note"/>
    <w:rsid w:val="00C22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1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2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1E1"/>
    <w:rPr>
      <w:b/>
      <w:smallCaps/>
    </w:rPr>
  </w:style>
  <w:style w:type="paragraph" w:customStyle="1" w:styleId="TableListNumber">
    <w:name w:val="Table List Number"/>
    <w:basedOn w:val="ListNumber"/>
    <w:rsid w:val="00C22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1E1"/>
    <w:pPr>
      <w:numPr>
        <w:numId w:val="9"/>
      </w:numPr>
    </w:pPr>
  </w:style>
  <w:style w:type="paragraph" w:customStyle="1" w:styleId="ListAlpha2">
    <w:name w:val="List Alpha 2"/>
    <w:basedOn w:val="List2"/>
    <w:rsid w:val="00C221E1"/>
    <w:pPr>
      <w:numPr>
        <w:numId w:val="8"/>
      </w:numPr>
    </w:pPr>
  </w:style>
  <w:style w:type="paragraph" w:styleId="List2">
    <w:name w:val="List 2"/>
    <w:basedOn w:val="BodyText"/>
    <w:rsid w:val="00C22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1E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1E1"/>
    <w:pPr>
      <w:numPr>
        <w:numId w:val="4"/>
      </w:numPr>
    </w:pPr>
  </w:style>
  <w:style w:type="paragraph" w:styleId="ListContinue2">
    <w:name w:val="List Continue 2"/>
    <w:basedOn w:val="List2"/>
    <w:rsid w:val="00C221E1"/>
    <w:pPr>
      <w:ind w:firstLine="0"/>
    </w:pPr>
  </w:style>
  <w:style w:type="paragraph" w:styleId="ListContinue3">
    <w:name w:val="List Continue 3"/>
    <w:basedOn w:val="List3"/>
    <w:rsid w:val="00C221E1"/>
    <w:pPr>
      <w:ind w:left="1021" w:firstLine="0"/>
    </w:pPr>
  </w:style>
  <w:style w:type="paragraph" w:styleId="ListContinue4">
    <w:name w:val="List Continue 4"/>
    <w:basedOn w:val="List4"/>
    <w:rsid w:val="00C221E1"/>
    <w:pPr>
      <w:ind w:firstLine="0"/>
    </w:pPr>
  </w:style>
  <w:style w:type="paragraph" w:styleId="ListContinue5">
    <w:name w:val="List Continue 5"/>
    <w:basedOn w:val="List5"/>
    <w:rsid w:val="00C221E1"/>
    <w:pPr>
      <w:ind w:firstLine="0"/>
    </w:pPr>
  </w:style>
  <w:style w:type="paragraph" w:styleId="ListNumber3">
    <w:name w:val="List Number 3"/>
    <w:basedOn w:val="List3"/>
    <w:rsid w:val="00C221E1"/>
    <w:pPr>
      <w:numPr>
        <w:numId w:val="5"/>
      </w:numPr>
    </w:pPr>
  </w:style>
  <w:style w:type="paragraph" w:styleId="ListNumber4">
    <w:name w:val="List Number 4"/>
    <w:basedOn w:val="List4"/>
    <w:rsid w:val="00C221E1"/>
    <w:pPr>
      <w:numPr>
        <w:numId w:val="6"/>
      </w:numPr>
    </w:pPr>
  </w:style>
  <w:style w:type="paragraph" w:styleId="ListNumber5">
    <w:name w:val="List Number 5"/>
    <w:basedOn w:val="List5"/>
    <w:rsid w:val="00C221E1"/>
    <w:pPr>
      <w:numPr>
        <w:numId w:val="7"/>
      </w:numPr>
    </w:pPr>
  </w:style>
  <w:style w:type="paragraph" w:styleId="BlockText">
    <w:name w:val="Block Text"/>
    <w:basedOn w:val="Normal"/>
    <w:rsid w:val="00C22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1E1"/>
    <w:rPr>
      <w:sz w:val="16"/>
      <w:vertAlign w:val="superscript"/>
    </w:rPr>
  </w:style>
  <w:style w:type="character" w:customStyle="1" w:styleId="Symbols">
    <w:name w:val="Symbols"/>
    <w:basedOn w:val="DefaultParagraphFont"/>
    <w:rsid w:val="00C221E1"/>
    <w:rPr>
      <w:rFonts w:ascii="Symbol" w:hAnsi="Symbol"/>
    </w:rPr>
  </w:style>
  <w:style w:type="character" w:customStyle="1" w:styleId="MenuOptions">
    <w:name w:val="Menu Options"/>
    <w:basedOn w:val="DefaultParagraphFont"/>
    <w:rsid w:val="00C22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1E1"/>
    <w:rPr>
      <w:b/>
    </w:rPr>
  </w:style>
  <w:style w:type="character" w:customStyle="1" w:styleId="Underlined">
    <w:name w:val="Underlined"/>
    <w:basedOn w:val="DefaultParagraphFont"/>
    <w:rsid w:val="00C221E1"/>
    <w:rPr>
      <w:u w:val="single"/>
    </w:rPr>
  </w:style>
  <w:style w:type="paragraph" w:customStyle="1" w:styleId="TableBodyTextRight">
    <w:name w:val="Table Body Text Right"/>
    <w:basedOn w:val="TableBodyText"/>
    <w:rsid w:val="00C22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1E1"/>
    <w:rPr>
      <w:sz w:val="18"/>
    </w:rPr>
  </w:style>
  <w:style w:type="paragraph" w:customStyle="1" w:styleId="BodySmallRight">
    <w:name w:val="Body Small Right"/>
    <w:basedOn w:val="BodyTextRight"/>
    <w:rsid w:val="00C221E1"/>
    <w:rPr>
      <w:sz w:val="18"/>
      <w:szCs w:val="18"/>
    </w:rPr>
  </w:style>
  <w:style w:type="paragraph" w:customStyle="1" w:styleId="MarginEdition">
    <w:name w:val="Margin Edition"/>
    <w:basedOn w:val="MarginNote"/>
    <w:rsid w:val="00C22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1E1"/>
    <w:rPr>
      <w:sz w:val="2"/>
      <w:szCs w:val="2"/>
    </w:rPr>
  </w:style>
  <w:style w:type="character" w:customStyle="1" w:styleId="Small">
    <w:name w:val="Small"/>
    <w:basedOn w:val="DefaultParagraphFont"/>
    <w:rsid w:val="00C221E1"/>
    <w:rPr>
      <w:sz w:val="16"/>
    </w:rPr>
  </w:style>
  <w:style w:type="paragraph" w:customStyle="1" w:styleId="WideTable">
    <w:name w:val="Wide Table"/>
    <w:basedOn w:val="Normal"/>
    <w:rsid w:val="00C22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1E1"/>
  </w:style>
  <w:style w:type="paragraph" w:styleId="Quote">
    <w:name w:val="Quote"/>
    <w:basedOn w:val="Heading1"/>
    <w:link w:val="QuoteChar"/>
    <w:qFormat/>
    <w:rsid w:val="00C22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1E1"/>
    <w:pPr>
      <w:pageBreakBefore/>
    </w:pPr>
  </w:style>
  <w:style w:type="paragraph" w:customStyle="1" w:styleId="Border">
    <w:name w:val="Border"/>
    <w:basedOn w:val="Normal"/>
    <w:qFormat/>
    <w:rsid w:val="00C22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1E1"/>
    <w:rPr>
      <w:u w:val="single"/>
    </w:rPr>
  </w:style>
  <w:style w:type="character" w:customStyle="1" w:styleId="BoldandItalics">
    <w:name w:val="Bold and Italics"/>
    <w:qFormat/>
    <w:rsid w:val="00C221E1"/>
    <w:rPr>
      <w:b/>
      <w:i/>
      <w:u w:val="none"/>
    </w:rPr>
  </w:style>
  <w:style w:type="paragraph" w:styleId="BalloonText">
    <w:name w:val="Balloon Text"/>
    <w:basedOn w:val="Normal"/>
    <w:link w:val="BalloonTextChar"/>
    <w:rsid w:val="00C22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1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5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2669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AURVTN002 Carry out non-structural vehicle panel repairs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2018-12-07T02:13:00Z</dcterms:created>
  <dcterms:modified xsi:type="dcterms:W3CDTF">2018-12-07T02:13:00Z</dcterms:modified>
</cp:coreProperties>
</file>