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9A5" w:rsidP="00681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AURVNA008 Apply automotive body and paint knowledge to vehicle loss assessments</w:t>
      </w:r>
      <w:r>
        <w:fldChar w:fldCharType="end"/>
      </w:r>
    </w:p>
    <w:p w:rsidR="006819A5" w:rsidP="006819A5">
      <w:pPr>
        <w:pStyle w:val="Version"/>
        <w:sectPr w:rsidSect="00B32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E16" w:rsidP="00B32E16">
      <w:pPr>
        <w:pStyle w:val="SuperHeading"/>
      </w:pPr>
      <w:r w:rsidRPr="00B32E16">
        <w:t>Assessment Requirements for AURVNA008 Apply automotive body and paint knowledge to vehicle loss assessments</w:t>
      </w:r>
    </w:p>
    <w:p w:rsidR="00000000" w:rsidRPr="00B32E16" w:rsidP="00B32E16">
      <w:pPr>
        <w:pStyle w:val="Heading1"/>
      </w:pPr>
      <w:bookmarkStart w:id="1" w:name="O_660463"/>
      <w:bookmarkEnd w:id="1"/>
      <w:r w:rsidRPr="00B32E1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819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6" w:rsidP="00B32E16">
            <w:pPr>
              <w:pStyle w:val="BodyText"/>
            </w:pPr>
            <w:r w:rsidRPr="00B32E1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6">
            <w:pPr>
              <w:pStyle w:val="BodyText"/>
              <w:rPr>
                <w:lang w:val="en-NZ"/>
              </w:rPr>
            </w:pPr>
            <w:r w:rsidRPr="00B32E16">
              <w:rPr>
                <w:rStyle w:val="SpecialBold"/>
              </w:rPr>
              <w:t>Comment</w:t>
            </w:r>
          </w:p>
        </w:tc>
      </w:tr>
      <w:tr w:rsidTr="006819A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E16">
            <w:pPr>
              <w:pStyle w:val="BodyText"/>
              <w:rPr>
                <w:lang w:val="en-NZ"/>
              </w:rPr>
            </w:pPr>
            <w:r w:rsidRPr="00B32E16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E16" w:rsidP="00B32E16">
            <w:pPr>
              <w:pStyle w:val="BodyText"/>
            </w:pPr>
            <w:r w:rsidRPr="00B32E16">
              <w:t>New unit of competency</w:t>
            </w:r>
          </w:p>
        </w:tc>
      </w:tr>
    </w:tbl>
    <w:p w:rsidR="00000000" w:rsidRPr="00B32E16" w:rsidP="00B32E16">
      <w:pPr>
        <w:pStyle w:val="BodyText"/>
      </w:pPr>
    </w:p>
    <w:p w:rsidR="00000000" w:rsidRPr="00B32E16" w:rsidP="00B32E16">
      <w:pPr>
        <w:pStyle w:val="AllowPageBreak"/>
      </w:pPr>
    </w:p>
    <w:p w:rsidR="00000000" w:rsidRPr="00B32E16" w:rsidP="00B32E16">
      <w:pPr>
        <w:pStyle w:val="Heading1"/>
      </w:pPr>
      <w:bookmarkStart w:id="2" w:name="O_660466"/>
      <w:bookmarkEnd w:id="2"/>
      <w:r w:rsidRPr="00B32E16">
        <w:t>Performance Evidence</w:t>
      </w:r>
    </w:p>
    <w:p w:rsidR="00000000" w:rsidRPr="00B32E16" w:rsidP="006819A5">
      <w:pPr>
        <w:pStyle w:val="BodyText"/>
      </w:pPr>
      <w:r w:rsidRPr="00B32E16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B32E16" w:rsidP="00B32E16">
      <w:pPr>
        <w:pStyle w:val="ListBullet"/>
      </w:pPr>
      <w:r w:rsidRPr="00B32E16">
        <w:t xml:space="preserve">apply specialist automotive knowledge to vehicle loss </w:t>
      </w:r>
      <w:r w:rsidRPr="00B32E16">
        <w:t>assessment processes and procedures on a minimum of two occasions, including:</w:t>
      </w:r>
    </w:p>
    <w:p w:rsidR="00000000" w:rsidRPr="00B32E16" w:rsidP="00B32E16">
      <w:pPr>
        <w:pStyle w:val="ListBullet2"/>
      </w:pPr>
      <w:r w:rsidRPr="00B32E16">
        <w:t>automotive paintwork and body knowledge</w:t>
      </w:r>
    </w:p>
    <w:p w:rsidR="00000000" w:rsidRPr="00B32E16" w:rsidP="00B32E16">
      <w:pPr>
        <w:pStyle w:val="ListBullet2"/>
      </w:pPr>
      <w:r w:rsidRPr="00B32E16">
        <w:t>latest automotive technology knowledge</w:t>
      </w:r>
    </w:p>
    <w:p w:rsidR="00000000" w:rsidRPr="00B32E16" w:rsidP="00B32E16">
      <w:pPr>
        <w:pStyle w:val="ListBullet2"/>
      </w:pPr>
      <w:r w:rsidRPr="00B32E16">
        <w:t>specific vehicle type knowledge</w:t>
      </w:r>
    </w:p>
    <w:p w:rsidR="00000000" w:rsidRPr="00B32E16" w:rsidP="00B32E16">
      <w:pPr>
        <w:pStyle w:val="ListBullet2"/>
      </w:pPr>
      <w:r w:rsidRPr="00B32E16">
        <w:t>identification of vehicle body and paint damage.</w:t>
      </w:r>
    </w:p>
    <w:p w:rsidR="00000000" w:rsidRPr="00B32E16" w:rsidP="00B32E16">
      <w:pPr>
        <w:pStyle w:val="AllowPageBreak"/>
      </w:pPr>
    </w:p>
    <w:p w:rsidR="00000000" w:rsidRPr="00B32E16" w:rsidP="00B32E16">
      <w:pPr>
        <w:pStyle w:val="Heading1"/>
      </w:pPr>
      <w:bookmarkStart w:id="3" w:name="O_660465"/>
      <w:bookmarkEnd w:id="3"/>
      <w:r w:rsidRPr="00B32E16">
        <w:t>Knowledge Evidence</w:t>
      </w:r>
    </w:p>
    <w:p w:rsidR="00000000" w:rsidRPr="00B32E16" w:rsidP="006819A5">
      <w:pPr>
        <w:pStyle w:val="BodyText"/>
      </w:pPr>
      <w:r w:rsidRPr="00B32E16">
        <w:t>Individuals must be able to demonstrate knowledge of:</w:t>
      </w:r>
    </w:p>
    <w:p w:rsidR="00000000" w:rsidRPr="00B32E16" w:rsidP="00B32E16">
      <w:pPr>
        <w:pStyle w:val="ListBullet"/>
      </w:pPr>
      <w:r w:rsidRPr="00B32E16">
        <w:t>operating principles of paint preparation and refinishing process and techniques, including:</w:t>
      </w:r>
    </w:p>
    <w:p w:rsidR="00000000" w:rsidRPr="00B32E16" w:rsidP="00B32E16">
      <w:pPr>
        <w:pStyle w:val="ListBullet2"/>
      </w:pPr>
      <w:r w:rsidRPr="00B32E16">
        <w:t>colour matching</w:t>
      </w:r>
    </w:p>
    <w:p w:rsidR="00000000" w:rsidRPr="00B32E16" w:rsidP="00B32E16">
      <w:pPr>
        <w:pStyle w:val="ListBullet2"/>
      </w:pPr>
      <w:r w:rsidRPr="00B32E16">
        <w:t>imperfection identification</w:t>
      </w:r>
    </w:p>
    <w:p w:rsidR="00000000" w:rsidRPr="00B32E16" w:rsidP="00B32E16">
      <w:pPr>
        <w:pStyle w:val="ListBullet2"/>
      </w:pPr>
      <w:r w:rsidRPr="00B32E16">
        <w:t>paint products</w:t>
      </w:r>
    </w:p>
    <w:p w:rsidR="00000000" w:rsidRPr="00B32E16" w:rsidP="00B32E16">
      <w:pPr>
        <w:pStyle w:val="ListBullet"/>
      </w:pPr>
      <w:r w:rsidRPr="00B32E16">
        <w:t>operating principles of supp</w:t>
      </w:r>
      <w:r w:rsidRPr="00B32E16">
        <w:t>lementary restraint systems (SRS)</w:t>
      </w:r>
    </w:p>
    <w:p w:rsidR="00000000" w:rsidRPr="00B32E16" w:rsidP="00B32E16">
      <w:pPr>
        <w:pStyle w:val="ListBullet"/>
      </w:pPr>
      <w:r w:rsidRPr="00B32E16">
        <w:t>operating principles of vehicle structural repair and procedures, including:</w:t>
      </w:r>
    </w:p>
    <w:p w:rsidR="00000000" w:rsidRPr="00B32E16" w:rsidP="00B32E16">
      <w:pPr>
        <w:pStyle w:val="ListBullet2"/>
      </w:pPr>
      <w:r w:rsidRPr="00B32E16">
        <w:t>measuring and alignment systems</w:t>
      </w:r>
    </w:p>
    <w:p w:rsidR="00000000" w:rsidRPr="00B32E16" w:rsidP="00B32E16">
      <w:pPr>
        <w:pStyle w:val="ListBullet2"/>
      </w:pPr>
      <w:r w:rsidRPr="00B32E16">
        <w:t>welding, bonding and fastening methods and types</w:t>
      </w:r>
    </w:p>
    <w:p w:rsidR="00000000" w:rsidRPr="00B32E16" w:rsidP="00B32E16">
      <w:pPr>
        <w:pStyle w:val="ListBullet"/>
      </w:pPr>
      <w:r w:rsidRPr="00B32E16">
        <w:t>operating principles of vehicle structure, including:</w:t>
      </w:r>
    </w:p>
    <w:p w:rsidR="00000000" w:rsidRPr="00B32E16" w:rsidP="00B32E16">
      <w:pPr>
        <w:pStyle w:val="ListBullet2"/>
      </w:pPr>
      <w:r w:rsidRPr="00B32E16">
        <w:t>alloys</w:t>
      </w:r>
    </w:p>
    <w:p w:rsidR="00000000" w:rsidRPr="00B32E16" w:rsidP="00B32E16">
      <w:pPr>
        <w:pStyle w:val="ListBullet2"/>
      </w:pPr>
      <w:r w:rsidRPr="00B32E16">
        <w:t>metals</w:t>
      </w:r>
    </w:p>
    <w:p w:rsidR="00000000" w:rsidRPr="00B32E16" w:rsidP="00B32E16">
      <w:pPr>
        <w:pStyle w:val="ListBullet2"/>
      </w:pPr>
      <w:r w:rsidRPr="00B32E16">
        <w:t>other materials</w:t>
      </w:r>
    </w:p>
    <w:p w:rsidR="00000000" w:rsidRPr="00B32E16" w:rsidP="00B32E16">
      <w:pPr>
        <w:pStyle w:val="ListBullet"/>
      </w:pPr>
      <w:r w:rsidRPr="00B32E16">
        <w:t>paintwork and body:</w:t>
      </w:r>
    </w:p>
    <w:p w:rsidR="00000000" w:rsidRPr="00B32E16" w:rsidP="00B32E16">
      <w:pPr>
        <w:pStyle w:val="ListBullet2"/>
      </w:pPr>
      <w:r w:rsidRPr="00B32E16">
        <w:t>damage and faults</w:t>
      </w:r>
    </w:p>
    <w:p w:rsidR="00000000" w:rsidRPr="00B32E16" w:rsidP="00B32E16">
      <w:pPr>
        <w:pStyle w:val="ListBullet2"/>
      </w:pPr>
      <w:r w:rsidRPr="00B32E16">
        <w:t>dismantling and repair methods</w:t>
      </w:r>
    </w:p>
    <w:p w:rsidR="00000000" w:rsidRPr="00B32E16" w:rsidP="00B32E16">
      <w:pPr>
        <w:pStyle w:val="ListBullet2"/>
      </w:pPr>
      <w:r w:rsidRPr="00B32E16">
        <w:t>technical knowledge relating to a specific vehicle type</w:t>
      </w:r>
    </w:p>
    <w:p w:rsidR="00000000" w:rsidRPr="00B32E16" w:rsidP="00B32E16">
      <w:pPr>
        <w:pStyle w:val="ListBullet"/>
      </w:pPr>
      <w:r w:rsidRPr="00B32E16">
        <w:t>technical knowledge of latest technology relating to vehicle paintwork and body repair, including:</w:t>
      </w:r>
    </w:p>
    <w:p w:rsidR="00000000" w:rsidRPr="00B32E16" w:rsidP="00B32E16">
      <w:pPr>
        <w:pStyle w:val="ListBullet2"/>
      </w:pPr>
      <w:r w:rsidRPr="00B32E16">
        <w:t>compo</w:t>
      </w:r>
      <w:r w:rsidRPr="00B32E16">
        <w:t>site materials</w:t>
      </w:r>
    </w:p>
    <w:p w:rsidR="00000000" w:rsidRPr="00B32E16" w:rsidP="00B32E16">
      <w:pPr>
        <w:pStyle w:val="ListBullet2"/>
      </w:pPr>
      <w:r w:rsidRPr="00B32E16">
        <w:t>high-strength steels</w:t>
      </w:r>
    </w:p>
    <w:p w:rsidR="00000000" w:rsidRPr="00B32E16" w:rsidP="00B32E16">
      <w:pPr>
        <w:pStyle w:val="ListBullet2"/>
      </w:pPr>
      <w:r w:rsidRPr="00B32E16">
        <w:t>waterborne paints</w:t>
      </w:r>
    </w:p>
    <w:p w:rsidR="00000000" w:rsidRPr="00B32E16" w:rsidP="00B32E16">
      <w:pPr>
        <w:pStyle w:val="ListBullet2"/>
      </w:pPr>
      <w:r w:rsidRPr="00B32E16">
        <w:t>painting preparation and procedures</w:t>
      </w:r>
    </w:p>
    <w:p w:rsidR="00000000" w:rsidRPr="00B32E16" w:rsidP="00B32E16">
      <w:pPr>
        <w:pStyle w:val="ListBullet2"/>
      </w:pPr>
      <w:r w:rsidRPr="00B32E16">
        <w:t>SRS</w:t>
      </w:r>
    </w:p>
    <w:p w:rsidR="00000000" w:rsidRPr="00B32E16" w:rsidP="00B32E16">
      <w:pPr>
        <w:pStyle w:val="ListBullet"/>
      </w:pPr>
      <w:r w:rsidRPr="00B32E16">
        <w:t>vehicle inspection and damage assessment procedures and methodologies, including repair set-up and dismantling procedures</w:t>
      </w:r>
    </w:p>
    <w:p w:rsidR="00000000" w:rsidRPr="00B32E16" w:rsidP="00B32E16">
      <w:pPr>
        <w:pStyle w:val="ListBullet"/>
      </w:pPr>
      <w:r w:rsidRPr="00B32E16">
        <w:t>current assessing and quoting methodologies</w:t>
      </w:r>
    </w:p>
    <w:p w:rsidR="00000000" w:rsidRPr="00B32E16" w:rsidP="00B32E16">
      <w:pPr>
        <w:pStyle w:val="ListBullet"/>
      </w:pPr>
      <w:r w:rsidRPr="00B32E16">
        <w:t>relevant automotive websites to locate information on current best practice and future trends in vehicle loss assessment</w:t>
      </w:r>
    </w:p>
    <w:p w:rsidR="00000000" w:rsidRPr="00B32E16" w:rsidP="00B32E16">
      <w:pPr>
        <w:pStyle w:val="ListBullet"/>
      </w:pPr>
      <w:r w:rsidRPr="00B32E16">
        <w:t>methods for sourcing original equipment manufacturer (OEM) or authorised agencies’ repair p</w:t>
      </w:r>
      <w:r w:rsidRPr="00B32E16">
        <w:t>rocedures, component supplier specifications and repair guides</w:t>
      </w:r>
    </w:p>
    <w:p w:rsidR="00000000" w:rsidRPr="00B32E16" w:rsidP="00B32E16">
      <w:pPr>
        <w:pStyle w:val="ListBullet"/>
      </w:pPr>
      <w:r w:rsidRPr="00B32E16">
        <w:t>applicable commonwealth, state or territory laws, regulations and standards relating to vehicle loss assessment and reporting requirements, including:</w:t>
      </w:r>
    </w:p>
    <w:p w:rsidR="00000000" w:rsidRPr="00B32E16" w:rsidP="00B32E16">
      <w:pPr>
        <w:pStyle w:val="ListBullet2"/>
      </w:pPr>
      <w:r w:rsidRPr="00B32E16">
        <w:t>environmental regulations</w:t>
      </w:r>
    </w:p>
    <w:p w:rsidR="00000000" w:rsidRPr="00B32E16" w:rsidP="00B32E16">
      <w:pPr>
        <w:pStyle w:val="ListBullet2"/>
      </w:pPr>
      <w:r w:rsidRPr="00B32E16">
        <w:t>intellectual pr</w:t>
      </w:r>
      <w:r w:rsidRPr="00B32E16">
        <w:t>operty</w:t>
      </w:r>
    </w:p>
    <w:p w:rsidR="00000000" w:rsidRPr="00B32E16" w:rsidP="00B32E16">
      <w:pPr>
        <w:pStyle w:val="ListBullet2"/>
      </w:pPr>
      <w:r w:rsidRPr="00B32E16">
        <w:t>applicable Workplace Health and Safety Act or Occupational Health and Safety Act</w:t>
      </w:r>
    </w:p>
    <w:p w:rsidR="00000000" w:rsidRPr="00B32E16" w:rsidP="00B32E16">
      <w:pPr>
        <w:pStyle w:val="ListBullet"/>
      </w:pPr>
      <w:r w:rsidRPr="00B32E16">
        <w:t>workplace policies and procedures relating to vehicle loss assessment and reporting requirements, including:</w:t>
      </w:r>
    </w:p>
    <w:p w:rsidR="00000000" w:rsidRPr="00B32E16" w:rsidP="00B32E16">
      <w:pPr>
        <w:pStyle w:val="ListBullet2"/>
      </w:pPr>
      <w:r w:rsidRPr="00B32E16">
        <w:t>recording and reporting procedures</w:t>
      </w:r>
    </w:p>
    <w:p w:rsidR="00000000" w:rsidRPr="00B32E16" w:rsidP="00B32E16">
      <w:pPr>
        <w:pStyle w:val="ListBullet2"/>
      </w:pPr>
      <w:r w:rsidRPr="00B32E16">
        <w:t>use of digital images.</w:t>
      </w:r>
    </w:p>
    <w:p w:rsidR="00000000" w:rsidRPr="00B32E16" w:rsidP="00B32E16">
      <w:pPr>
        <w:pStyle w:val="AllowPageBreak"/>
      </w:pPr>
    </w:p>
    <w:p w:rsidR="00000000" w:rsidRPr="00B32E16" w:rsidP="00B32E16">
      <w:pPr>
        <w:pStyle w:val="Heading1"/>
      </w:pPr>
      <w:bookmarkStart w:id="4" w:name="O_660464"/>
      <w:bookmarkEnd w:id="4"/>
      <w:r w:rsidRPr="00B32E16">
        <w:t>Assessment Conditions</w:t>
      </w:r>
    </w:p>
    <w:p w:rsidR="00000000" w:rsidRPr="00B32E16" w:rsidP="006819A5">
      <w:pPr>
        <w:pStyle w:val="BodyText"/>
      </w:pPr>
      <w:r w:rsidRPr="00B32E16">
        <w:t>Assessors must satisfy SNR/AQTF assessor requirements.</w:t>
      </w:r>
    </w:p>
    <w:p w:rsidR="00000000" w:rsidRPr="00B32E16" w:rsidP="006819A5">
      <w:pPr>
        <w:pStyle w:val="BodyText"/>
      </w:pPr>
      <w:r w:rsidRPr="00B32E16">
        <w:t>Competency is to be assessed in the workplace or a simulated environment that accurately reflects performance in a real workplace setting.</w:t>
      </w:r>
    </w:p>
    <w:p w:rsidR="00000000" w:rsidRPr="00B32E16" w:rsidP="006819A5">
      <w:pPr>
        <w:pStyle w:val="BodyText"/>
      </w:pPr>
      <w:r w:rsidRPr="00B32E16">
        <w:t>Where assessment of competency includes third-party evidence, individuals must provide evidence that links them to the vehicles that they have assessed, e.g. assessment reports.</w:t>
      </w:r>
    </w:p>
    <w:p w:rsidR="00000000" w:rsidRPr="00B32E16" w:rsidP="006819A5">
      <w:pPr>
        <w:pStyle w:val="BodyText"/>
      </w:pPr>
      <w:r w:rsidRPr="00B32E16">
        <w:t>Assessors must verify performance evidence through questioning on skills and k</w:t>
      </w:r>
      <w:r w:rsidRPr="00B32E16">
        <w:t>nowledge to ensure correct interpretation and application.</w:t>
      </w:r>
    </w:p>
    <w:p w:rsidR="00000000" w:rsidRPr="00B32E16" w:rsidP="006819A5">
      <w:pPr>
        <w:pStyle w:val="BodyText"/>
      </w:pPr>
      <w:r w:rsidRPr="00B32E16">
        <w:t>The following resources must be made available:</w:t>
      </w:r>
    </w:p>
    <w:p w:rsidR="00000000" w:rsidRPr="00B32E16" w:rsidP="00B32E16">
      <w:pPr>
        <w:pStyle w:val="ListBullet"/>
      </w:pPr>
      <w:r w:rsidRPr="00B32E16">
        <w:t>a range of vehicles with paint and body damage</w:t>
      </w:r>
    </w:p>
    <w:p w:rsidR="00000000" w:rsidRPr="00B32E16" w:rsidP="00B32E16">
      <w:pPr>
        <w:pStyle w:val="ListBullet"/>
      </w:pPr>
      <w:r w:rsidRPr="00B32E16">
        <w:t>relevant information, including OEM or authorised agencies’ repair procedures, component supplier spe</w:t>
      </w:r>
      <w:r w:rsidRPr="00B32E16">
        <w:t>cifications and repair guides</w:t>
      </w:r>
    </w:p>
    <w:p w:rsidR="00000000" w:rsidRPr="00B32E16" w:rsidP="00B32E16">
      <w:pPr>
        <w:pStyle w:val="ListBullet"/>
      </w:pPr>
      <w:r w:rsidRPr="00B32E16">
        <w:t>relevant materials and resources.</w:t>
      </w:r>
    </w:p>
    <w:p w:rsidR="00000000" w:rsidRPr="00B32E16" w:rsidP="00B32E16">
      <w:pPr>
        <w:pStyle w:val="AllowPageBreak"/>
      </w:pPr>
    </w:p>
    <w:p w:rsidR="00000000" w:rsidRPr="00B32E16" w:rsidP="00B32E16">
      <w:pPr>
        <w:pStyle w:val="Heading1"/>
      </w:pPr>
      <w:bookmarkStart w:id="5" w:name="O_660462"/>
      <w:bookmarkEnd w:id="5"/>
      <w:r w:rsidRPr="00B32E16">
        <w:t>Links</w:t>
      </w:r>
    </w:p>
    <w:p w:rsidR="00000000" w:rsidRPr="00B32E16" w:rsidP="006819A5">
      <w:pPr>
        <w:pStyle w:val="BodyText"/>
      </w:pPr>
      <w:r w:rsidRPr="00B32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62B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2E16" w:rsidP="006819A5">
      <w:pPr>
        <w:pStyle w:val="BodyText"/>
      </w:pPr>
      <w:r w:rsidRPr="00B32E16">
        <w:t>Companion Volume implem</w:t>
      </w:r>
      <w:r w:rsidRPr="00B32E16">
        <w:t xml:space="preserve">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62B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32E16" w:rsidP="00B32E16"/>
    <w:sectPr w:rsidSect="00B32E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 w:rsidRPr="006819A5" w:rsidP="00681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A5" w:rsidP="00B32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9A5" w:rsidP="00B32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19A5" w:rsidP="00B32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E16" w:rsidRPr="006819A5" w:rsidP="00681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9A5" w:rsidRPr="002D2AF8" w:rsidP="00B32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AURVNA008 Apply automotive body and paint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819A5" w:rsidP="00B32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C21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C2F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B07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E16"/>
  </w:style>
  <w:style w:type="character" w:customStyle="1" w:styleId="Heading1Char">
    <w:name w:val="Heading 1 Char"/>
    <w:basedOn w:val="DefaultParagraphFont"/>
    <w:link w:val="Heading1"/>
    <w:rsid w:val="00B32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E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E16"/>
    <w:rPr>
      <w:b/>
      <w:spacing w:val="0"/>
    </w:rPr>
  </w:style>
  <w:style w:type="paragraph" w:styleId="ListBullet2">
    <w:name w:val="List Bullet 2"/>
    <w:basedOn w:val="List2"/>
    <w:rsid w:val="00B32E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E16"/>
    <w:rPr>
      <w:i/>
    </w:rPr>
  </w:style>
  <w:style w:type="paragraph" w:styleId="Caption">
    <w:name w:val="caption"/>
    <w:basedOn w:val="BodyText"/>
    <w:next w:val="Normal"/>
    <w:qFormat/>
    <w:rsid w:val="00B32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E16"/>
  </w:style>
  <w:style w:type="paragraph" w:styleId="TableofFigures">
    <w:name w:val="table of figures"/>
    <w:basedOn w:val="Normal"/>
    <w:next w:val="Normal"/>
    <w:semiHidden/>
    <w:rsid w:val="00B32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E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E16"/>
    <w:rPr>
      <w:rFonts w:ascii="Wingdings" w:hAnsi="Wingdings"/>
    </w:rPr>
  </w:style>
  <w:style w:type="paragraph" w:customStyle="1" w:styleId="TableHeading">
    <w:name w:val="Table Heading"/>
    <w:basedOn w:val="HeadingBase"/>
    <w:rsid w:val="00B32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E16"/>
    <w:rPr>
      <w:color w:val="0033CC"/>
      <w:u w:val="none"/>
    </w:rPr>
  </w:style>
  <w:style w:type="paragraph" w:customStyle="1" w:styleId="BodyTextRight">
    <w:name w:val="Body Text Right"/>
    <w:basedOn w:val="BodyText"/>
    <w:rsid w:val="00B32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E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E16"/>
    <w:rPr>
      <w:sz w:val="32"/>
    </w:rPr>
  </w:style>
  <w:style w:type="paragraph" w:customStyle="1" w:styleId="HeadingProcedure">
    <w:name w:val="Heading Procedure"/>
    <w:basedOn w:val="HeadingBase"/>
    <w:next w:val="Normal"/>
    <w:rsid w:val="00B32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E16"/>
    <w:pPr>
      <w:spacing w:before="60" w:after="60"/>
    </w:pPr>
  </w:style>
  <w:style w:type="paragraph" w:styleId="ListContinue">
    <w:name w:val="List Continue"/>
    <w:basedOn w:val="List"/>
    <w:rsid w:val="00B32E16"/>
    <w:pPr>
      <w:ind w:firstLine="0"/>
    </w:pPr>
  </w:style>
  <w:style w:type="paragraph" w:customStyle="1" w:styleId="ListNote">
    <w:name w:val="List Note"/>
    <w:basedOn w:val="List"/>
    <w:rsid w:val="00B32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E16"/>
    <w:rPr>
      <w:rFonts w:ascii="Courier New" w:hAnsi="Courier New"/>
    </w:rPr>
  </w:style>
  <w:style w:type="paragraph" w:customStyle="1" w:styleId="NoteBullet">
    <w:name w:val="Note Bullet"/>
    <w:basedOn w:val="Note"/>
    <w:rsid w:val="00B32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E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E16"/>
    <w:rPr>
      <w:b/>
      <w:smallCaps/>
    </w:rPr>
  </w:style>
  <w:style w:type="paragraph" w:customStyle="1" w:styleId="TableListNumber">
    <w:name w:val="Table List Number"/>
    <w:basedOn w:val="ListNumber"/>
    <w:rsid w:val="00B32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E16"/>
    <w:pPr>
      <w:numPr>
        <w:numId w:val="9"/>
      </w:numPr>
    </w:pPr>
  </w:style>
  <w:style w:type="paragraph" w:customStyle="1" w:styleId="ListAlpha2">
    <w:name w:val="List Alpha 2"/>
    <w:basedOn w:val="List2"/>
    <w:rsid w:val="00B32E16"/>
    <w:pPr>
      <w:numPr>
        <w:numId w:val="8"/>
      </w:numPr>
    </w:pPr>
  </w:style>
  <w:style w:type="paragraph" w:styleId="List2">
    <w:name w:val="List 2"/>
    <w:basedOn w:val="BodyText"/>
    <w:rsid w:val="00B32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E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E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E16"/>
    <w:pPr>
      <w:numPr>
        <w:numId w:val="4"/>
      </w:numPr>
    </w:pPr>
  </w:style>
  <w:style w:type="paragraph" w:styleId="ListContinue2">
    <w:name w:val="List Continue 2"/>
    <w:basedOn w:val="List2"/>
    <w:rsid w:val="00B32E16"/>
    <w:pPr>
      <w:ind w:firstLine="0"/>
    </w:pPr>
  </w:style>
  <w:style w:type="paragraph" w:styleId="ListContinue3">
    <w:name w:val="List Continue 3"/>
    <w:basedOn w:val="List3"/>
    <w:rsid w:val="00B32E16"/>
    <w:pPr>
      <w:ind w:left="1021" w:firstLine="0"/>
    </w:pPr>
  </w:style>
  <w:style w:type="paragraph" w:styleId="ListContinue4">
    <w:name w:val="List Continue 4"/>
    <w:basedOn w:val="List4"/>
    <w:rsid w:val="00B32E16"/>
    <w:pPr>
      <w:ind w:firstLine="0"/>
    </w:pPr>
  </w:style>
  <w:style w:type="paragraph" w:styleId="ListContinue5">
    <w:name w:val="List Continue 5"/>
    <w:basedOn w:val="List5"/>
    <w:rsid w:val="00B32E16"/>
    <w:pPr>
      <w:ind w:firstLine="0"/>
    </w:pPr>
  </w:style>
  <w:style w:type="paragraph" w:styleId="ListNumber3">
    <w:name w:val="List Number 3"/>
    <w:basedOn w:val="List3"/>
    <w:rsid w:val="00B32E16"/>
    <w:pPr>
      <w:numPr>
        <w:numId w:val="5"/>
      </w:numPr>
    </w:pPr>
  </w:style>
  <w:style w:type="paragraph" w:styleId="ListNumber4">
    <w:name w:val="List Number 4"/>
    <w:basedOn w:val="List4"/>
    <w:rsid w:val="00B32E16"/>
    <w:pPr>
      <w:numPr>
        <w:numId w:val="6"/>
      </w:numPr>
    </w:pPr>
  </w:style>
  <w:style w:type="paragraph" w:styleId="ListNumber5">
    <w:name w:val="List Number 5"/>
    <w:basedOn w:val="List5"/>
    <w:rsid w:val="00B32E16"/>
    <w:pPr>
      <w:numPr>
        <w:numId w:val="7"/>
      </w:numPr>
    </w:pPr>
  </w:style>
  <w:style w:type="paragraph" w:styleId="BlockText">
    <w:name w:val="Block Text"/>
    <w:basedOn w:val="Normal"/>
    <w:rsid w:val="00B32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E16"/>
    <w:rPr>
      <w:sz w:val="16"/>
      <w:vertAlign w:val="superscript"/>
    </w:rPr>
  </w:style>
  <w:style w:type="character" w:customStyle="1" w:styleId="Symbols">
    <w:name w:val="Symbols"/>
    <w:basedOn w:val="DefaultParagraphFont"/>
    <w:rsid w:val="00B32E16"/>
    <w:rPr>
      <w:rFonts w:ascii="Symbol" w:hAnsi="Symbol"/>
    </w:rPr>
  </w:style>
  <w:style w:type="character" w:customStyle="1" w:styleId="MenuOptions">
    <w:name w:val="Menu Options"/>
    <w:basedOn w:val="DefaultParagraphFont"/>
    <w:rsid w:val="00B32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E16"/>
    <w:rPr>
      <w:b/>
    </w:rPr>
  </w:style>
  <w:style w:type="character" w:customStyle="1" w:styleId="Underlined">
    <w:name w:val="Underlined"/>
    <w:basedOn w:val="DefaultParagraphFont"/>
    <w:rsid w:val="00B32E16"/>
    <w:rPr>
      <w:u w:val="single"/>
    </w:rPr>
  </w:style>
  <w:style w:type="paragraph" w:customStyle="1" w:styleId="TableBodyTextRight">
    <w:name w:val="Table Body Text Right"/>
    <w:basedOn w:val="TableBodyText"/>
    <w:rsid w:val="00B32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E16"/>
    <w:rPr>
      <w:sz w:val="18"/>
    </w:rPr>
  </w:style>
  <w:style w:type="paragraph" w:customStyle="1" w:styleId="BodySmallRight">
    <w:name w:val="Body Small Right"/>
    <w:basedOn w:val="BodyTextRight"/>
    <w:rsid w:val="00B32E16"/>
    <w:rPr>
      <w:sz w:val="18"/>
      <w:szCs w:val="18"/>
    </w:rPr>
  </w:style>
  <w:style w:type="paragraph" w:customStyle="1" w:styleId="MarginEdition">
    <w:name w:val="Margin Edition"/>
    <w:basedOn w:val="MarginNote"/>
    <w:rsid w:val="00B32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E16"/>
    <w:rPr>
      <w:sz w:val="2"/>
      <w:szCs w:val="2"/>
    </w:rPr>
  </w:style>
  <w:style w:type="character" w:customStyle="1" w:styleId="Small">
    <w:name w:val="Small"/>
    <w:basedOn w:val="DefaultParagraphFont"/>
    <w:rsid w:val="00B32E16"/>
    <w:rPr>
      <w:sz w:val="16"/>
    </w:rPr>
  </w:style>
  <w:style w:type="paragraph" w:customStyle="1" w:styleId="WideTable">
    <w:name w:val="Wide Table"/>
    <w:basedOn w:val="Normal"/>
    <w:rsid w:val="00B32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E16"/>
  </w:style>
  <w:style w:type="paragraph" w:styleId="Quote">
    <w:name w:val="Quote"/>
    <w:basedOn w:val="Heading1"/>
    <w:link w:val="QuoteChar"/>
    <w:qFormat/>
    <w:rsid w:val="00B32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E16"/>
    <w:pPr>
      <w:pageBreakBefore/>
    </w:pPr>
  </w:style>
  <w:style w:type="paragraph" w:customStyle="1" w:styleId="Border">
    <w:name w:val="Border"/>
    <w:basedOn w:val="Normal"/>
    <w:qFormat/>
    <w:rsid w:val="00B32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E16"/>
    <w:rPr>
      <w:u w:val="single"/>
    </w:rPr>
  </w:style>
  <w:style w:type="character" w:customStyle="1" w:styleId="BoldandItalics">
    <w:name w:val="Bold and Italics"/>
    <w:qFormat/>
    <w:rsid w:val="00B32E16"/>
    <w:rPr>
      <w:b/>
      <w:i/>
      <w:u w:val="none"/>
    </w:rPr>
  </w:style>
  <w:style w:type="paragraph" w:styleId="BalloonText">
    <w:name w:val="Balloon Text"/>
    <w:basedOn w:val="Normal"/>
    <w:link w:val="BalloonTextChar"/>
    <w:rsid w:val="00B32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E16"/>
    <w:pPr>
      <w:spacing w:before="0" w:after="0"/>
    </w:pPr>
  </w:style>
  <w:style w:type="paragraph" w:customStyle="1" w:styleId="BodyTextBold">
    <w:name w:val="Body Text Bold"/>
    <w:basedOn w:val="BodyText"/>
    <w:qFormat/>
    <w:rsid w:val="00B32E16"/>
    <w:rPr>
      <w:b/>
    </w:rPr>
  </w:style>
  <w:style w:type="character" w:styleId="Hyperlink">
    <w:name w:val="Hyperlink"/>
    <w:basedOn w:val="DefaultParagraphFont"/>
    <w:uiPriority w:val="99"/>
    <w:unhideWhenUsed/>
    <w:rsid w:val="00681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3442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AURVNA008 Apply automotive body and paint knowledge to vehicle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