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4DF" w:rsidP="00C52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AURTTX012 Dismantle and assemble conventional manual transmissions</w:t>
      </w:r>
      <w:r>
        <w:fldChar w:fldCharType="end"/>
      </w:r>
    </w:p>
    <w:p w:rsidR="00C524DF" w:rsidP="00C524DF">
      <w:pPr>
        <w:pStyle w:val="Version"/>
        <w:sectPr w:rsidSect="001F1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85A" w:rsidP="001F185A">
      <w:pPr>
        <w:pStyle w:val="SuperHeading"/>
      </w:pPr>
      <w:r w:rsidRPr="001F185A">
        <w:t>Assessment Requirements for AURTTX012 Dismantle and assemble conventional manual transmissions</w:t>
      </w:r>
    </w:p>
    <w:p w:rsidR="00000000" w:rsidRPr="001F185A" w:rsidP="001F185A">
      <w:pPr>
        <w:pStyle w:val="Heading1"/>
      </w:pPr>
      <w:bookmarkStart w:id="1" w:name="O_660283"/>
      <w:bookmarkEnd w:id="1"/>
      <w:r w:rsidRPr="001F18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52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5A" w:rsidP="001F185A">
            <w:pPr>
              <w:pStyle w:val="BodyText"/>
            </w:pPr>
            <w:r w:rsidRPr="001F185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5A">
            <w:pPr>
              <w:pStyle w:val="BodyText"/>
              <w:rPr>
                <w:lang w:val="en-NZ"/>
              </w:rPr>
            </w:pPr>
            <w:r w:rsidRPr="001F185A">
              <w:rPr>
                <w:rStyle w:val="SpecialBold"/>
              </w:rPr>
              <w:t>Comment</w:t>
            </w:r>
          </w:p>
        </w:tc>
      </w:tr>
      <w:tr w:rsidTr="00C52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5A">
            <w:pPr>
              <w:pStyle w:val="BodyText"/>
              <w:rPr>
                <w:lang w:val="en-NZ"/>
              </w:rPr>
            </w:pPr>
            <w:r w:rsidRPr="001F185A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5A" w:rsidP="001F185A">
            <w:pPr>
              <w:pStyle w:val="BodyText"/>
            </w:pPr>
            <w:r w:rsidRPr="001F185A">
              <w:t>New unit of competency</w:t>
            </w:r>
          </w:p>
        </w:tc>
      </w:tr>
    </w:tbl>
    <w:p w:rsidR="00000000" w:rsidRPr="001F185A" w:rsidP="001F185A">
      <w:pPr>
        <w:pStyle w:val="BodyText"/>
      </w:pPr>
    </w:p>
    <w:p w:rsidR="00000000" w:rsidRPr="001F185A" w:rsidP="001F185A">
      <w:pPr>
        <w:pStyle w:val="AllowPageBreak"/>
      </w:pPr>
    </w:p>
    <w:p w:rsidR="00000000" w:rsidRPr="001F185A" w:rsidP="001F185A">
      <w:pPr>
        <w:pStyle w:val="Heading1"/>
      </w:pPr>
      <w:bookmarkStart w:id="2" w:name="O_660286"/>
      <w:bookmarkEnd w:id="2"/>
      <w:r w:rsidRPr="001F185A">
        <w:t>Performance Evidence</w:t>
      </w:r>
    </w:p>
    <w:p w:rsidR="00000000" w:rsidRPr="001F185A" w:rsidP="00C524DF">
      <w:pPr>
        <w:pStyle w:val="BodyText"/>
      </w:pPr>
      <w:r w:rsidRPr="001F185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F185A" w:rsidP="001F185A">
      <w:pPr>
        <w:pStyle w:val="ListBullet"/>
      </w:pPr>
      <w:r w:rsidRPr="001F185A">
        <w:t>dismantle and re-assemble a minim</w:t>
      </w:r>
      <w:r w:rsidRPr="001F185A">
        <w:t>um of two different conventional manual transmissions.</w:t>
      </w:r>
    </w:p>
    <w:p w:rsidR="00000000" w:rsidRPr="001F185A" w:rsidP="001F185A">
      <w:pPr>
        <w:pStyle w:val="AllowPageBreak"/>
      </w:pPr>
    </w:p>
    <w:p w:rsidR="00000000" w:rsidRPr="001F185A" w:rsidP="001F185A">
      <w:pPr>
        <w:pStyle w:val="Heading1"/>
      </w:pPr>
      <w:bookmarkStart w:id="3" w:name="O_660285"/>
      <w:bookmarkEnd w:id="3"/>
      <w:r w:rsidRPr="001F185A">
        <w:t>Knowledge Evidence</w:t>
      </w:r>
    </w:p>
    <w:p w:rsidR="00000000" w:rsidRPr="001F185A" w:rsidP="00C524DF">
      <w:pPr>
        <w:pStyle w:val="BodyText"/>
      </w:pPr>
      <w:r w:rsidRPr="001F185A">
        <w:t>Individuals must be able to demonstrate knowledge of:</w:t>
      </w:r>
    </w:p>
    <w:p w:rsidR="00000000" w:rsidRPr="001F185A" w:rsidP="001F185A">
      <w:pPr>
        <w:pStyle w:val="ListBullet"/>
      </w:pPr>
      <w:r w:rsidRPr="001F185A">
        <w:t xml:space="preserve">key aspects of work health and safety (WHS), occupational health and safety (OHS) and environmental </w:t>
      </w:r>
      <w:r w:rsidRPr="001F185A">
        <w:t>requirements, including:</w:t>
      </w:r>
    </w:p>
    <w:p w:rsidR="00000000" w:rsidRPr="001F185A" w:rsidP="001F185A">
      <w:pPr>
        <w:pStyle w:val="ListBullet2"/>
      </w:pPr>
      <w:r w:rsidRPr="001F185A">
        <w:t>use of personal protective equipment, including safety glasses, ear protection and safety footwear</w:t>
      </w:r>
    </w:p>
    <w:p w:rsidR="00000000" w:rsidRPr="001F185A" w:rsidP="001F185A">
      <w:pPr>
        <w:pStyle w:val="ListBullet2"/>
      </w:pPr>
      <w:r w:rsidRPr="001F185A">
        <w:t>procedures for disposing of used oil and lubricants</w:t>
      </w:r>
    </w:p>
    <w:p w:rsidR="00000000" w:rsidRPr="001F185A" w:rsidP="001F185A">
      <w:pPr>
        <w:pStyle w:val="ListBullet"/>
      </w:pPr>
      <w:r w:rsidRPr="001F185A">
        <w:t>types of manual transmissions, including:</w:t>
      </w:r>
    </w:p>
    <w:p w:rsidR="00000000" w:rsidRPr="001F185A" w:rsidP="001F185A">
      <w:pPr>
        <w:pStyle w:val="ListBullet2"/>
      </w:pPr>
      <w:r w:rsidRPr="001F185A">
        <w:t>conventional</w:t>
      </w:r>
    </w:p>
    <w:p w:rsidR="00000000" w:rsidRPr="001F185A" w:rsidP="001F185A">
      <w:pPr>
        <w:pStyle w:val="ListBullet2"/>
      </w:pPr>
      <w:r w:rsidRPr="001F185A">
        <w:t>transaxle</w:t>
      </w:r>
    </w:p>
    <w:p w:rsidR="00000000" w:rsidRPr="001F185A" w:rsidP="001F185A">
      <w:pPr>
        <w:pStyle w:val="ListBullet"/>
      </w:pPr>
      <w:r w:rsidRPr="001F185A">
        <w:t>transmissio</w:t>
      </w:r>
      <w:r w:rsidRPr="001F185A">
        <w:t>n operating principles, including:</w:t>
      </w:r>
    </w:p>
    <w:p w:rsidR="00000000" w:rsidRPr="001F185A" w:rsidP="001F185A">
      <w:pPr>
        <w:pStyle w:val="ListBullet2"/>
      </w:pPr>
      <w:r w:rsidRPr="001F185A">
        <w:t>types of gears</w:t>
      </w:r>
    </w:p>
    <w:p w:rsidR="00000000" w:rsidRPr="001F185A" w:rsidP="001F185A">
      <w:pPr>
        <w:pStyle w:val="ListBullet2"/>
      </w:pPr>
      <w:r w:rsidRPr="001F185A">
        <w:t>gear ratios</w:t>
      </w:r>
    </w:p>
    <w:p w:rsidR="00000000" w:rsidRPr="001F185A" w:rsidP="001F185A">
      <w:pPr>
        <w:pStyle w:val="ListBullet2"/>
      </w:pPr>
      <w:r w:rsidRPr="001F185A">
        <w:t>transmission bearings, seals and gaskets</w:t>
      </w:r>
    </w:p>
    <w:p w:rsidR="00000000" w:rsidRPr="001F185A" w:rsidP="001F185A">
      <w:pPr>
        <w:pStyle w:val="ListBullet2"/>
      </w:pPr>
      <w:r w:rsidRPr="001F185A">
        <w:t>transmission oils</w:t>
      </w:r>
    </w:p>
    <w:p w:rsidR="00000000" w:rsidRPr="001F185A" w:rsidP="001F185A">
      <w:pPr>
        <w:pStyle w:val="ListBullet"/>
      </w:pPr>
      <w:r w:rsidRPr="001F185A">
        <w:t>construction and operation of transmissions, including:</w:t>
      </w:r>
    </w:p>
    <w:p w:rsidR="00000000" w:rsidRPr="001F185A" w:rsidP="001F185A">
      <w:pPr>
        <w:pStyle w:val="ListBullet2"/>
      </w:pPr>
      <w:r w:rsidRPr="001F185A">
        <w:t>power flows</w:t>
      </w:r>
    </w:p>
    <w:p w:rsidR="00000000" w:rsidRPr="001F185A" w:rsidP="001F185A">
      <w:pPr>
        <w:pStyle w:val="ListBullet2"/>
      </w:pPr>
      <w:r w:rsidRPr="001F185A">
        <w:t>gear selector mechanisms and interlocks</w:t>
      </w:r>
    </w:p>
    <w:p w:rsidR="00000000" w:rsidRPr="001F185A" w:rsidP="001F185A">
      <w:pPr>
        <w:pStyle w:val="ListBullet2"/>
      </w:pPr>
      <w:r w:rsidRPr="001F185A">
        <w:t>synchromesh units</w:t>
      </w:r>
    </w:p>
    <w:p w:rsidR="00000000" w:rsidRPr="001F185A" w:rsidP="001F185A">
      <w:pPr>
        <w:pStyle w:val="ListBullet"/>
      </w:pPr>
      <w:r w:rsidRPr="001F185A">
        <w:t>transmission dismantling procedures</w:t>
      </w:r>
    </w:p>
    <w:p w:rsidR="00000000" w:rsidRPr="001F185A" w:rsidP="001F185A">
      <w:pPr>
        <w:pStyle w:val="ListBullet"/>
      </w:pPr>
      <w:r w:rsidRPr="001F185A">
        <w:t>transmission inspection procedures</w:t>
      </w:r>
    </w:p>
    <w:p w:rsidR="00000000" w:rsidRPr="001F185A" w:rsidP="001F185A">
      <w:pPr>
        <w:pStyle w:val="ListBullet"/>
      </w:pPr>
      <w:r w:rsidRPr="001F185A">
        <w:t>transmission reassembly procedures</w:t>
      </w:r>
    </w:p>
    <w:p w:rsidR="00000000" w:rsidRPr="001F185A" w:rsidP="001F185A">
      <w:pPr>
        <w:pStyle w:val="ListBullet"/>
      </w:pPr>
      <w:r w:rsidRPr="001F185A">
        <w:t>work area clean-up and maintenance requirements.</w:t>
      </w:r>
    </w:p>
    <w:p w:rsidR="00000000" w:rsidRPr="001F185A" w:rsidP="001F185A">
      <w:pPr>
        <w:pStyle w:val="AllowPageBreak"/>
      </w:pPr>
    </w:p>
    <w:p w:rsidR="00000000" w:rsidRPr="001F185A" w:rsidP="001F185A">
      <w:pPr>
        <w:pStyle w:val="Heading1"/>
      </w:pPr>
      <w:bookmarkStart w:id="4" w:name="O_660284"/>
      <w:bookmarkEnd w:id="4"/>
      <w:r w:rsidRPr="001F185A">
        <w:t>Assessment Conditions</w:t>
      </w:r>
    </w:p>
    <w:p w:rsidR="00000000" w:rsidRPr="001F185A" w:rsidP="00C524DF">
      <w:pPr>
        <w:pStyle w:val="BodyText"/>
      </w:pPr>
      <w:r w:rsidRPr="001F185A">
        <w:t>Assessors must satisfy SNR/AQTF assessor requirements.</w:t>
      </w:r>
    </w:p>
    <w:p w:rsidR="00000000" w:rsidRPr="001F185A" w:rsidP="00C524DF">
      <w:pPr>
        <w:pStyle w:val="BodyText"/>
      </w:pPr>
      <w:r w:rsidRPr="001F185A">
        <w:t>Compete</w:t>
      </w:r>
      <w:r w:rsidRPr="001F185A">
        <w:t>ncy is to be assessed in the workplace or a simulated environment that accurately reflects performance in a real workplace setting.</w:t>
      </w:r>
    </w:p>
    <w:p w:rsidR="00000000" w:rsidRPr="001F185A" w:rsidP="00C524DF">
      <w:pPr>
        <w:pStyle w:val="BodyText"/>
      </w:pPr>
      <w:r w:rsidRPr="001F185A">
        <w:t>Where assessment of competency includes third-party evidence, individuals must provide evidence that links them to dismantli</w:t>
      </w:r>
      <w:r w:rsidRPr="001F185A">
        <w:t>ng and re-assembling a conventional manual transmission e.g. repair orders.</w:t>
      </w:r>
    </w:p>
    <w:p w:rsidR="00000000" w:rsidRPr="001F185A" w:rsidP="00C524DF">
      <w:pPr>
        <w:pStyle w:val="BodyText"/>
      </w:pPr>
      <w:r w:rsidRPr="001F185A">
        <w:t>Assessors must verify performance evidence through questioning on skills and knowledge to ensure correct interpretation and application.</w:t>
      </w:r>
    </w:p>
    <w:p w:rsidR="00000000" w:rsidRPr="001F185A" w:rsidP="00C524DF">
      <w:pPr>
        <w:pStyle w:val="BodyText"/>
      </w:pPr>
      <w:r w:rsidRPr="001F185A">
        <w:t>The following resources must be made available:</w:t>
      </w:r>
    </w:p>
    <w:p w:rsidR="00000000" w:rsidRPr="001F185A" w:rsidP="001F185A">
      <w:pPr>
        <w:pStyle w:val="ListBullet"/>
      </w:pPr>
      <w:r w:rsidRPr="001F185A">
        <w:t>automotive workplace or simulated workplace</w:t>
      </w:r>
    </w:p>
    <w:p w:rsidR="00000000" w:rsidRPr="001F185A" w:rsidP="001F185A">
      <w:pPr>
        <w:pStyle w:val="ListBullet"/>
      </w:pPr>
      <w:r w:rsidRPr="001F185A">
        <w:t xml:space="preserve">personal protective equipment appropriate to the workplace </w:t>
      </w:r>
    </w:p>
    <w:p w:rsidR="00000000" w:rsidRPr="001F185A" w:rsidP="001F185A">
      <w:pPr>
        <w:pStyle w:val="ListBullet"/>
      </w:pPr>
      <w:r w:rsidRPr="001F185A">
        <w:t>two different conventional manual transmissions with at least four gears</w:t>
      </w:r>
    </w:p>
    <w:p w:rsidR="00000000" w:rsidRPr="001F185A" w:rsidP="001F185A">
      <w:pPr>
        <w:pStyle w:val="ListBullet"/>
      </w:pPr>
      <w:r w:rsidRPr="001F185A">
        <w:t>tools and special equipment, i</w:t>
      </w:r>
      <w:r w:rsidRPr="001F185A">
        <w:t>ncluding lifting equipment.</w:t>
      </w:r>
    </w:p>
    <w:p w:rsidR="00000000" w:rsidRPr="001F185A" w:rsidP="001F185A">
      <w:pPr>
        <w:pStyle w:val="AllowPageBreak"/>
      </w:pPr>
    </w:p>
    <w:p w:rsidR="00000000" w:rsidRPr="001F185A" w:rsidP="001F185A">
      <w:pPr>
        <w:pStyle w:val="Heading1"/>
      </w:pPr>
      <w:bookmarkStart w:id="5" w:name="O_660282"/>
      <w:bookmarkEnd w:id="5"/>
      <w:r w:rsidRPr="001F185A">
        <w:t>Links</w:t>
      </w:r>
    </w:p>
    <w:p w:rsidR="00000000" w:rsidRPr="001F185A" w:rsidP="00C524DF">
      <w:pPr>
        <w:pStyle w:val="BodyText"/>
      </w:pPr>
      <w:r w:rsidRPr="001F18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49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185A" w:rsidP="00C524DF">
      <w:pPr>
        <w:pStyle w:val="BodyText"/>
      </w:pPr>
      <w:r w:rsidRPr="001F185A">
        <w:t xml:space="preserve">Companion Volume implementation guides are found in VETNet </w:t>
      </w:r>
      <w:r w:rsidRPr="001F185A">
        <w:t xml:space="preserve">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49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F185A" w:rsidP="001F185A"/>
    <w:sectPr w:rsidSect="001F18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5A" w:rsidRPr="00C524DF" w:rsidP="00C52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DF" w:rsidP="001F1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4DF" w:rsidP="001F1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524DF" w:rsidP="001F1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85A" w:rsidRPr="00C524DF" w:rsidP="00C52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4DF" w:rsidRPr="002D2AF8" w:rsidP="001F1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AURTTX012 Dismantle and assemble conventional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524DF" w:rsidP="001F1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C70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0E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68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85A"/>
  </w:style>
  <w:style w:type="character" w:customStyle="1" w:styleId="Heading1Char">
    <w:name w:val="Heading 1 Char"/>
    <w:basedOn w:val="DefaultParagraphFont"/>
    <w:link w:val="Heading1"/>
    <w:rsid w:val="001F1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8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85A"/>
    <w:rPr>
      <w:b/>
      <w:spacing w:val="0"/>
    </w:rPr>
  </w:style>
  <w:style w:type="paragraph" w:styleId="ListBullet2">
    <w:name w:val="List Bullet 2"/>
    <w:basedOn w:val="List2"/>
    <w:rsid w:val="001F18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85A"/>
    <w:rPr>
      <w:i/>
    </w:rPr>
  </w:style>
  <w:style w:type="paragraph" w:styleId="Caption">
    <w:name w:val="caption"/>
    <w:basedOn w:val="BodyText"/>
    <w:next w:val="Normal"/>
    <w:qFormat/>
    <w:rsid w:val="001F1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85A"/>
  </w:style>
  <w:style w:type="paragraph" w:styleId="TableofFigures">
    <w:name w:val="table of figures"/>
    <w:basedOn w:val="Normal"/>
    <w:next w:val="Normal"/>
    <w:semiHidden/>
    <w:rsid w:val="001F1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85A"/>
    <w:rPr>
      <w:rFonts w:ascii="Wingdings" w:hAnsi="Wingdings"/>
    </w:rPr>
  </w:style>
  <w:style w:type="paragraph" w:customStyle="1" w:styleId="TableHeading">
    <w:name w:val="Table Heading"/>
    <w:basedOn w:val="HeadingBase"/>
    <w:rsid w:val="001F1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85A"/>
    <w:rPr>
      <w:color w:val="0033CC"/>
      <w:u w:val="none"/>
    </w:rPr>
  </w:style>
  <w:style w:type="paragraph" w:customStyle="1" w:styleId="BodyTextRight">
    <w:name w:val="Body Text Right"/>
    <w:basedOn w:val="BodyText"/>
    <w:rsid w:val="001F1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85A"/>
    <w:rPr>
      <w:sz w:val="32"/>
    </w:rPr>
  </w:style>
  <w:style w:type="paragraph" w:customStyle="1" w:styleId="HeadingProcedure">
    <w:name w:val="Heading Procedure"/>
    <w:basedOn w:val="HeadingBase"/>
    <w:next w:val="Normal"/>
    <w:rsid w:val="001F1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85A"/>
    <w:pPr>
      <w:spacing w:before="60" w:after="60"/>
    </w:pPr>
  </w:style>
  <w:style w:type="paragraph" w:styleId="ListContinue">
    <w:name w:val="List Continue"/>
    <w:basedOn w:val="List"/>
    <w:rsid w:val="001F185A"/>
    <w:pPr>
      <w:ind w:firstLine="0"/>
    </w:pPr>
  </w:style>
  <w:style w:type="paragraph" w:customStyle="1" w:styleId="ListNote">
    <w:name w:val="List Note"/>
    <w:basedOn w:val="List"/>
    <w:rsid w:val="001F1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85A"/>
    <w:rPr>
      <w:rFonts w:ascii="Courier New" w:hAnsi="Courier New"/>
    </w:rPr>
  </w:style>
  <w:style w:type="paragraph" w:customStyle="1" w:styleId="NoteBullet">
    <w:name w:val="Note Bullet"/>
    <w:basedOn w:val="Note"/>
    <w:rsid w:val="001F1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85A"/>
    <w:rPr>
      <w:b/>
      <w:smallCaps/>
    </w:rPr>
  </w:style>
  <w:style w:type="paragraph" w:customStyle="1" w:styleId="TableListNumber">
    <w:name w:val="Table List Number"/>
    <w:basedOn w:val="ListNumber"/>
    <w:rsid w:val="001F1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85A"/>
    <w:pPr>
      <w:numPr>
        <w:numId w:val="9"/>
      </w:numPr>
    </w:pPr>
  </w:style>
  <w:style w:type="paragraph" w:customStyle="1" w:styleId="ListAlpha2">
    <w:name w:val="List Alpha 2"/>
    <w:basedOn w:val="List2"/>
    <w:rsid w:val="001F185A"/>
    <w:pPr>
      <w:numPr>
        <w:numId w:val="8"/>
      </w:numPr>
    </w:pPr>
  </w:style>
  <w:style w:type="paragraph" w:styleId="List2">
    <w:name w:val="List 2"/>
    <w:basedOn w:val="BodyText"/>
    <w:rsid w:val="001F1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85A"/>
    <w:pPr>
      <w:numPr>
        <w:numId w:val="4"/>
      </w:numPr>
    </w:pPr>
  </w:style>
  <w:style w:type="paragraph" w:styleId="ListContinue2">
    <w:name w:val="List Continue 2"/>
    <w:basedOn w:val="List2"/>
    <w:rsid w:val="001F185A"/>
    <w:pPr>
      <w:ind w:firstLine="0"/>
    </w:pPr>
  </w:style>
  <w:style w:type="paragraph" w:styleId="ListContinue3">
    <w:name w:val="List Continue 3"/>
    <w:basedOn w:val="List3"/>
    <w:rsid w:val="001F185A"/>
    <w:pPr>
      <w:ind w:left="1021" w:firstLine="0"/>
    </w:pPr>
  </w:style>
  <w:style w:type="paragraph" w:styleId="ListContinue4">
    <w:name w:val="List Continue 4"/>
    <w:basedOn w:val="List4"/>
    <w:rsid w:val="001F185A"/>
    <w:pPr>
      <w:ind w:firstLine="0"/>
    </w:pPr>
  </w:style>
  <w:style w:type="paragraph" w:styleId="ListContinue5">
    <w:name w:val="List Continue 5"/>
    <w:basedOn w:val="List5"/>
    <w:rsid w:val="001F185A"/>
    <w:pPr>
      <w:ind w:firstLine="0"/>
    </w:pPr>
  </w:style>
  <w:style w:type="paragraph" w:styleId="ListNumber3">
    <w:name w:val="List Number 3"/>
    <w:basedOn w:val="List3"/>
    <w:rsid w:val="001F185A"/>
    <w:pPr>
      <w:numPr>
        <w:numId w:val="5"/>
      </w:numPr>
    </w:pPr>
  </w:style>
  <w:style w:type="paragraph" w:styleId="ListNumber4">
    <w:name w:val="List Number 4"/>
    <w:basedOn w:val="List4"/>
    <w:rsid w:val="001F185A"/>
    <w:pPr>
      <w:numPr>
        <w:numId w:val="6"/>
      </w:numPr>
    </w:pPr>
  </w:style>
  <w:style w:type="paragraph" w:styleId="ListNumber5">
    <w:name w:val="List Number 5"/>
    <w:basedOn w:val="List5"/>
    <w:rsid w:val="001F185A"/>
    <w:pPr>
      <w:numPr>
        <w:numId w:val="7"/>
      </w:numPr>
    </w:pPr>
  </w:style>
  <w:style w:type="paragraph" w:styleId="BlockText">
    <w:name w:val="Block Text"/>
    <w:basedOn w:val="Normal"/>
    <w:rsid w:val="001F1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85A"/>
    <w:rPr>
      <w:sz w:val="16"/>
      <w:vertAlign w:val="superscript"/>
    </w:rPr>
  </w:style>
  <w:style w:type="character" w:customStyle="1" w:styleId="Symbols">
    <w:name w:val="Symbols"/>
    <w:basedOn w:val="DefaultParagraphFont"/>
    <w:rsid w:val="001F185A"/>
    <w:rPr>
      <w:rFonts w:ascii="Symbol" w:hAnsi="Symbol"/>
    </w:rPr>
  </w:style>
  <w:style w:type="character" w:customStyle="1" w:styleId="MenuOptions">
    <w:name w:val="Menu Options"/>
    <w:basedOn w:val="DefaultParagraphFont"/>
    <w:rsid w:val="001F1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85A"/>
    <w:rPr>
      <w:b/>
    </w:rPr>
  </w:style>
  <w:style w:type="character" w:customStyle="1" w:styleId="Underlined">
    <w:name w:val="Underlined"/>
    <w:basedOn w:val="DefaultParagraphFont"/>
    <w:rsid w:val="001F185A"/>
    <w:rPr>
      <w:u w:val="single"/>
    </w:rPr>
  </w:style>
  <w:style w:type="paragraph" w:customStyle="1" w:styleId="TableBodyTextRight">
    <w:name w:val="Table Body Text Right"/>
    <w:basedOn w:val="TableBodyText"/>
    <w:rsid w:val="001F1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85A"/>
    <w:rPr>
      <w:sz w:val="18"/>
    </w:rPr>
  </w:style>
  <w:style w:type="paragraph" w:customStyle="1" w:styleId="BodySmallRight">
    <w:name w:val="Body Small Right"/>
    <w:basedOn w:val="BodyTextRight"/>
    <w:rsid w:val="001F185A"/>
    <w:rPr>
      <w:sz w:val="18"/>
      <w:szCs w:val="18"/>
    </w:rPr>
  </w:style>
  <w:style w:type="paragraph" w:customStyle="1" w:styleId="MarginEdition">
    <w:name w:val="Margin Edition"/>
    <w:basedOn w:val="MarginNote"/>
    <w:rsid w:val="001F1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85A"/>
    <w:rPr>
      <w:sz w:val="2"/>
      <w:szCs w:val="2"/>
    </w:rPr>
  </w:style>
  <w:style w:type="character" w:customStyle="1" w:styleId="Small">
    <w:name w:val="Small"/>
    <w:basedOn w:val="DefaultParagraphFont"/>
    <w:rsid w:val="001F185A"/>
    <w:rPr>
      <w:sz w:val="16"/>
    </w:rPr>
  </w:style>
  <w:style w:type="paragraph" w:customStyle="1" w:styleId="WideTable">
    <w:name w:val="Wide Table"/>
    <w:basedOn w:val="Normal"/>
    <w:rsid w:val="001F1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85A"/>
  </w:style>
  <w:style w:type="paragraph" w:styleId="Quote">
    <w:name w:val="Quote"/>
    <w:basedOn w:val="Heading1"/>
    <w:link w:val="QuoteChar"/>
    <w:qFormat/>
    <w:rsid w:val="001F1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85A"/>
    <w:pPr>
      <w:pageBreakBefore/>
    </w:pPr>
  </w:style>
  <w:style w:type="paragraph" w:customStyle="1" w:styleId="Border">
    <w:name w:val="Border"/>
    <w:basedOn w:val="Normal"/>
    <w:qFormat/>
    <w:rsid w:val="001F1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85A"/>
    <w:rPr>
      <w:u w:val="single"/>
    </w:rPr>
  </w:style>
  <w:style w:type="character" w:customStyle="1" w:styleId="BoldandItalics">
    <w:name w:val="Bold and Italics"/>
    <w:qFormat/>
    <w:rsid w:val="001F185A"/>
    <w:rPr>
      <w:b/>
      <w:i/>
      <w:u w:val="none"/>
    </w:rPr>
  </w:style>
  <w:style w:type="paragraph" w:styleId="BalloonText">
    <w:name w:val="Balloon Text"/>
    <w:basedOn w:val="Normal"/>
    <w:link w:val="BalloonTextChar"/>
    <w:rsid w:val="001F1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85A"/>
    <w:pPr>
      <w:spacing w:before="0" w:after="0"/>
    </w:pPr>
  </w:style>
  <w:style w:type="paragraph" w:customStyle="1" w:styleId="BodyTextBold">
    <w:name w:val="Body Text Bold"/>
    <w:basedOn w:val="BodyText"/>
    <w:qFormat/>
    <w:rsid w:val="001F185A"/>
    <w:rPr>
      <w:b/>
    </w:rPr>
  </w:style>
  <w:style w:type="character" w:styleId="Hyperlink">
    <w:name w:val="Hyperlink"/>
    <w:basedOn w:val="DefaultParagraphFont"/>
    <w:uiPriority w:val="99"/>
    <w:unhideWhenUsed/>
    <w:rsid w:val="00C52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2508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AURTTX012 Dismantle and assemble conventional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