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6E6" w:rsidP="00794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AURTTM004 Assemble engine blocks and sub-assemblies</w:t>
      </w:r>
      <w:r>
        <w:fldChar w:fldCharType="end"/>
      </w:r>
    </w:p>
    <w:p w:rsidR="007946E6" w:rsidP="007946E6">
      <w:pPr>
        <w:pStyle w:val="Version"/>
        <w:sectPr w:rsidSect="00406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151" w:rsidP="00406151">
      <w:pPr>
        <w:pStyle w:val="SuperHeading"/>
      </w:pPr>
      <w:r w:rsidRPr="00406151">
        <w:t>Assessment Requirements for AURTTM004 Assemble engine blocks and sub-assemblies</w:t>
      </w:r>
    </w:p>
    <w:p w:rsidR="00000000" w:rsidRPr="00406151" w:rsidP="00406151">
      <w:pPr>
        <w:pStyle w:val="Heading1"/>
      </w:pPr>
      <w:bookmarkStart w:id="1" w:name="O_786030"/>
      <w:bookmarkEnd w:id="1"/>
      <w:r w:rsidRPr="0040615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946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51" w:rsidP="00406151">
            <w:pPr>
              <w:pStyle w:val="BodyText"/>
            </w:pPr>
            <w:r w:rsidRPr="0040615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51">
            <w:pPr>
              <w:pStyle w:val="BodyText"/>
              <w:rPr>
                <w:lang w:val="en-NZ"/>
              </w:rPr>
            </w:pPr>
            <w:r w:rsidRPr="00406151">
              <w:rPr>
                <w:rStyle w:val="SpecialBold"/>
              </w:rPr>
              <w:t>Comment</w:t>
            </w:r>
          </w:p>
        </w:tc>
      </w:tr>
      <w:tr w:rsidTr="007946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51">
            <w:pPr>
              <w:pStyle w:val="BodyText"/>
              <w:rPr>
                <w:lang w:val="en-NZ"/>
              </w:rPr>
            </w:pPr>
            <w:r w:rsidRPr="0040615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51" w:rsidP="00406151">
            <w:pPr>
              <w:pStyle w:val="BodyText"/>
            </w:pPr>
            <w:r w:rsidRPr="00406151">
              <w:t>New unit of competency.</w:t>
            </w:r>
          </w:p>
        </w:tc>
      </w:tr>
    </w:tbl>
    <w:p w:rsidR="00000000" w:rsidRPr="00406151" w:rsidP="00406151">
      <w:pPr>
        <w:pStyle w:val="BodyText"/>
      </w:pPr>
    </w:p>
    <w:p w:rsidR="00000000" w:rsidRPr="00406151" w:rsidP="00406151">
      <w:pPr>
        <w:pStyle w:val="AllowPageBreak"/>
      </w:pPr>
    </w:p>
    <w:p w:rsidR="00000000" w:rsidRPr="00406151" w:rsidP="00406151">
      <w:pPr>
        <w:pStyle w:val="Heading1"/>
      </w:pPr>
      <w:bookmarkStart w:id="2" w:name="O_786031"/>
      <w:bookmarkEnd w:id="2"/>
      <w:r w:rsidRPr="00406151">
        <w:t>Performance Evidence</w:t>
      </w:r>
    </w:p>
    <w:p w:rsidR="00000000" w:rsidRPr="00406151" w:rsidP="007946E6">
      <w:pPr>
        <w:pStyle w:val="BodyText"/>
      </w:pPr>
      <w:r w:rsidRPr="00406151">
        <w:t xml:space="preserve">Before competency can be </w:t>
      </w:r>
      <w:r w:rsidRPr="00406151">
        <w:t>determined, individuals must demonstrate they can perform the following according to the standards defined in this unit’s elements, performance criteria, range of conditions and foundation skills:</w:t>
      </w:r>
    </w:p>
    <w:p w:rsidR="00000000" w:rsidRPr="00406151" w:rsidP="00406151">
      <w:pPr>
        <w:pStyle w:val="ListBullet"/>
      </w:pPr>
      <w:r w:rsidRPr="00406151">
        <w:t>assemble two different engine blocks, one of which must be</w:t>
      </w:r>
      <w:r w:rsidRPr="00406151">
        <w:t xml:space="preserve"> a V configuration engine block, and the sub-assemblies of those engine blocks, in which the work must involve:</w:t>
      </w:r>
    </w:p>
    <w:p w:rsidR="00000000" w:rsidRPr="00406151" w:rsidP="00406151">
      <w:pPr>
        <w:pStyle w:val="ListBullet2"/>
      </w:pPr>
      <w:r w:rsidRPr="00406151">
        <w:t>a multi-cylinder diesel engine</w:t>
      </w:r>
    </w:p>
    <w:p w:rsidR="00000000" w:rsidRPr="00406151" w:rsidP="00406151">
      <w:pPr>
        <w:pStyle w:val="ListBullet2"/>
      </w:pPr>
      <w:r w:rsidRPr="00406151">
        <w:t>a multi-cylinder petrol engine.</w:t>
      </w:r>
    </w:p>
    <w:p w:rsidR="00000000" w:rsidRPr="00406151" w:rsidP="00406151">
      <w:pPr>
        <w:pStyle w:val="AllowPageBreak"/>
      </w:pPr>
    </w:p>
    <w:p w:rsidR="00000000" w:rsidRPr="00406151" w:rsidP="00406151">
      <w:pPr>
        <w:pStyle w:val="Heading1"/>
      </w:pPr>
      <w:bookmarkStart w:id="3" w:name="O_786032"/>
      <w:bookmarkEnd w:id="3"/>
      <w:r w:rsidRPr="00406151">
        <w:t>Knowledge Evidence</w:t>
      </w:r>
    </w:p>
    <w:p w:rsidR="00000000" w:rsidRPr="00406151" w:rsidP="007946E6">
      <w:pPr>
        <w:pStyle w:val="BodyText"/>
      </w:pPr>
      <w:r w:rsidRPr="00406151">
        <w:t>Individuals must be able to demonstrate knowledge of:</w:t>
      </w:r>
    </w:p>
    <w:p w:rsidR="00000000" w:rsidRPr="00406151" w:rsidP="00406151">
      <w:pPr>
        <w:pStyle w:val="ListBullet"/>
      </w:pPr>
      <w:r w:rsidRPr="00406151">
        <w:t>work health and safety (WHS) and occupational health and safety (OHS) requirements relating to assembling engine blocks and sub-assemblies, including procedures for:</w:t>
      </w:r>
    </w:p>
    <w:p w:rsidR="00000000" w:rsidRPr="00406151" w:rsidP="00406151">
      <w:pPr>
        <w:pStyle w:val="ListBullet2"/>
      </w:pPr>
      <w:r w:rsidRPr="00406151">
        <w:t>selecting and using personal prote</w:t>
      </w:r>
      <w:r w:rsidRPr="00406151">
        <w:t>ctive equipment (PPE) for handling engine blocks and sub-assemblies and using chemical cleaning agents</w:t>
      </w:r>
    </w:p>
    <w:p w:rsidR="00000000" w:rsidRPr="00406151" w:rsidP="00406151">
      <w:pPr>
        <w:pStyle w:val="ListBullet2"/>
      </w:pPr>
      <w:r w:rsidRPr="00406151">
        <w:t>correctly operating specialised equipment, including heating torches, ovens and presses</w:t>
      </w:r>
    </w:p>
    <w:p w:rsidR="00000000" w:rsidRPr="00406151" w:rsidP="00406151">
      <w:pPr>
        <w:pStyle w:val="ListBullet2"/>
      </w:pPr>
      <w:r w:rsidRPr="00406151">
        <w:t>handling freezing substances, including liquid nitrogen</w:t>
      </w:r>
    </w:p>
    <w:p w:rsidR="00000000" w:rsidRPr="00406151" w:rsidP="00406151">
      <w:pPr>
        <w:pStyle w:val="ListBullet2"/>
      </w:pPr>
      <w:r w:rsidRPr="00406151">
        <w:t>manual ha</w:t>
      </w:r>
      <w:r w:rsidRPr="00406151">
        <w:t>ndling techniques, including:</w:t>
      </w:r>
    </w:p>
    <w:p w:rsidR="00000000" w:rsidRPr="00406151" w:rsidP="00406151">
      <w:pPr>
        <w:pStyle w:val="ListBullet3"/>
      </w:pPr>
      <w:r w:rsidRPr="00406151">
        <w:t>using machinery for lifting engine blocks and engine components</w:t>
      </w:r>
    </w:p>
    <w:p w:rsidR="00000000" w:rsidRPr="00406151" w:rsidP="00406151">
      <w:pPr>
        <w:pStyle w:val="ListBullet3"/>
      </w:pPr>
      <w:r w:rsidRPr="00406151">
        <w:t>using slings, chains and other lifting equipment according to safe work practices</w:t>
      </w:r>
    </w:p>
    <w:p w:rsidR="00000000" w:rsidRPr="00406151" w:rsidP="00406151">
      <w:pPr>
        <w:pStyle w:val="ListBullet"/>
      </w:pPr>
      <w:r w:rsidRPr="00406151">
        <w:t>environmental requirements, including procedures for trapping, storing and disposing of cleaning fluids released during the assembly process</w:t>
      </w:r>
    </w:p>
    <w:p w:rsidR="00000000" w:rsidRPr="00406151" w:rsidP="00406151">
      <w:pPr>
        <w:pStyle w:val="ListBullet"/>
      </w:pPr>
      <w:r w:rsidRPr="00406151">
        <w:t>procedures for clearance testing and adjusting or machining components, including:</w:t>
      </w:r>
    </w:p>
    <w:p w:rsidR="00000000" w:rsidRPr="00406151" w:rsidP="00406151">
      <w:pPr>
        <w:pStyle w:val="ListBullet2"/>
      </w:pPr>
      <w:r w:rsidRPr="00406151">
        <w:t>piston to connecting rod big en</w:t>
      </w:r>
      <w:r w:rsidRPr="00406151">
        <w:t>d alignment</w:t>
      </w:r>
    </w:p>
    <w:p w:rsidR="00000000" w:rsidRPr="00406151" w:rsidP="00406151">
      <w:pPr>
        <w:pStyle w:val="ListBullet2"/>
      </w:pPr>
      <w:r w:rsidRPr="00406151">
        <w:t>big end and main bearing crush with bearing blue</w:t>
      </w:r>
    </w:p>
    <w:p w:rsidR="00000000" w:rsidRPr="00406151" w:rsidP="00406151">
      <w:pPr>
        <w:pStyle w:val="ListBullet2"/>
      </w:pPr>
      <w:r w:rsidRPr="00406151">
        <w:t>piston ring end gap, back clearance and side clearance</w:t>
      </w:r>
    </w:p>
    <w:p w:rsidR="00000000" w:rsidRPr="00406151" w:rsidP="00406151">
      <w:pPr>
        <w:pStyle w:val="ListBullet2"/>
      </w:pPr>
      <w:r w:rsidRPr="00406151">
        <w:t>bearing to crankshaft clearances with plastigage and measuring and calculating clearances</w:t>
      </w:r>
    </w:p>
    <w:p w:rsidR="00000000" w:rsidRPr="00406151" w:rsidP="00406151">
      <w:pPr>
        <w:pStyle w:val="ListBullet2"/>
      </w:pPr>
      <w:r w:rsidRPr="00406151">
        <w:t>semi-flanged thrust bearings</w:t>
      </w:r>
    </w:p>
    <w:p w:rsidR="00000000" w:rsidRPr="00406151" w:rsidP="00406151">
      <w:pPr>
        <w:pStyle w:val="ListBullet2"/>
      </w:pPr>
      <w:r w:rsidRPr="00406151">
        <w:t>finished camshaft bearings and measuring clearances</w:t>
      </w:r>
    </w:p>
    <w:p w:rsidR="00000000" w:rsidRPr="00406151" w:rsidP="00406151">
      <w:pPr>
        <w:pStyle w:val="ListBullet2"/>
      </w:pPr>
      <w:r w:rsidRPr="00406151">
        <w:t>camshafts and cam followers</w:t>
      </w:r>
    </w:p>
    <w:p w:rsidR="00000000" w:rsidRPr="00406151" w:rsidP="00406151">
      <w:pPr>
        <w:pStyle w:val="ListBullet2"/>
      </w:pPr>
      <w:r w:rsidRPr="00406151">
        <w:t>camshaft end float</w:t>
      </w:r>
    </w:p>
    <w:p w:rsidR="00000000" w:rsidRPr="00406151" w:rsidP="00406151">
      <w:pPr>
        <w:pStyle w:val="ListBullet2"/>
      </w:pPr>
      <w:r w:rsidRPr="00406151">
        <w:t>crankshaft end float</w:t>
      </w:r>
    </w:p>
    <w:p w:rsidR="00000000" w:rsidRPr="00406151" w:rsidP="00406151">
      <w:pPr>
        <w:pStyle w:val="ListBullet2"/>
      </w:pPr>
      <w:r w:rsidRPr="00406151">
        <w:t>gear backlash</w:t>
      </w:r>
    </w:p>
    <w:p w:rsidR="00000000" w:rsidRPr="00406151" w:rsidP="00406151">
      <w:pPr>
        <w:pStyle w:val="ListBullet2"/>
      </w:pPr>
      <w:r w:rsidRPr="00406151">
        <w:t>oil pump sealing and pick-up oil piping</w:t>
      </w:r>
    </w:p>
    <w:p w:rsidR="00000000" w:rsidRPr="00406151" w:rsidP="00406151">
      <w:pPr>
        <w:pStyle w:val="ListBullet"/>
      </w:pPr>
      <w:r w:rsidRPr="00406151">
        <w:t>component assembly procedures and processes, including:</w:t>
      </w:r>
    </w:p>
    <w:p w:rsidR="00000000" w:rsidRPr="00406151" w:rsidP="00406151">
      <w:pPr>
        <w:pStyle w:val="ListBullet2"/>
      </w:pPr>
      <w:r w:rsidRPr="00406151">
        <w:t>pre-assembly wash proced</w:t>
      </w:r>
      <w:r w:rsidRPr="00406151">
        <w:t>ures for components</w:t>
      </w:r>
    </w:p>
    <w:p w:rsidR="00000000" w:rsidRPr="00406151" w:rsidP="00406151">
      <w:pPr>
        <w:pStyle w:val="ListBullet2"/>
      </w:pPr>
      <w:r w:rsidRPr="00406151">
        <w:t>welsh plugs and oil gallery plugs</w:t>
      </w:r>
    </w:p>
    <w:p w:rsidR="00000000" w:rsidRPr="00406151" w:rsidP="00406151">
      <w:pPr>
        <w:pStyle w:val="ListBullet2"/>
      </w:pPr>
      <w:r w:rsidRPr="00406151">
        <w:t>piston and connecting rod assemblies</w:t>
      </w:r>
    </w:p>
    <w:p w:rsidR="00000000" w:rsidRPr="00406151" w:rsidP="00406151">
      <w:pPr>
        <w:pStyle w:val="ListBullet2"/>
      </w:pPr>
      <w:r w:rsidRPr="00406151">
        <w:t>big end bearings</w:t>
      </w:r>
    </w:p>
    <w:p w:rsidR="00000000" w:rsidRPr="00406151" w:rsidP="00406151">
      <w:pPr>
        <w:pStyle w:val="ListBullet2"/>
      </w:pPr>
      <w:r w:rsidRPr="00406151">
        <w:t>piston rings to pistons, including procedures for using ring compressors</w:t>
      </w:r>
    </w:p>
    <w:p w:rsidR="00000000" w:rsidRPr="00406151" w:rsidP="00406151">
      <w:pPr>
        <w:pStyle w:val="ListBullet2"/>
      </w:pPr>
      <w:r w:rsidRPr="00406151">
        <w:t>main bearings and thrust washers</w:t>
      </w:r>
    </w:p>
    <w:p w:rsidR="00000000" w:rsidRPr="00406151" w:rsidP="00406151">
      <w:pPr>
        <w:pStyle w:val="ListBullet2"/>
      </w:pPr>
      <w:r w:rsidRPr="00406151">
        <w:t>semi-flanged thrust bearings</w:t>
      </w:r>
    </w:p>
    <w:p w:rsidR="00000000" w:rsidRPr="00406151" w:rsidP="00406151">
      <w:pPr>
        <w:pStyle w:val="ListBullet2"/>
      </w:pPr>
      <w:r w:rsidRPr="00406151">
        <w:t>crankshafts, including protection measures for crankshaft journals, bearings, rings and bores</w:t>
      </w:r>
    </w:p>
    <w:p w:rsidR="00000000" w:rsidRPr="00406151" w:rsidP="00406151">
      <w:pPr>
        <w:pStyle w:val="ListBullet2"/>
      </w:pPr>
      <w:r w:rsidRPr="00406151">
        <w:t>finished camshaft bearings</w:t>
      </w:r>
    </w:p>
    <w:p w:rsidR="00000000" w:rsidRPr="00406151" w:rsidP="00406151">
      <w:pPr>
        <w:pStyle w:val="ListBullet2"/>
      </w:pPr>
      <w:r w:rsidRPr="00406151">
        <w:t>camshafts and cam followers</w:t>
      </w:r>
    </w:p>
    <w:p w:rsidR="00000000" w:rsidRPr="00406151" w:rsidP="00406151">
      <w:pPr>
        <w:pStyle w:val="ListBullet2"/>
      </w:pPr>
      <w:r w:rsidRPr="00406151">
        <w:t>timing gears</w:t>
      </w:r>
    </w:p>
    <w:p w:rsidR="00000000" w:rsidRPr="00406151" w:rsidP="00406151">
      <w:pPr>
        <w:pStyle w:val="ListBullet2"/>
      </w:pPr>
      <w:r w:rsidRPr="00406151">
        <w:t>chains and tensioners</w:t>
      </w:r>
    </w:p>
    <w:p w:rsidR="00000000" w:rsidRPr="00406151" w:rsidP="00406151">
      <w:pPr>
        <w:pStyle w:val="ListBullet3"/>
      </w:pPr>
      <w:r w:rsidRPr="00406151">
        <w:t>oil pumps, oil squirters and oil pump pick-ups</w:t>
      </w:r>
    </w:p>
    <w:p w:rsidR="00000000" w:rsidRPr="00406151" w:rsidP="00406151">
      <w:pPr>
        <w:pStyle w:val="ListBullet3"/>
      </w:pPr>
      <w:r w:rsidRPr="00406151">
        <w:t>balance shafts</w:t>
      </w:r>
    </w:p>
    <w:p w:rsidR="00000000" w:rsidRPr="00406151" w:rsidP="00406151">
      <w:pPr>
        <w:pStyle w:val="ListBullet3"/>
      </w:pPr>
      <w:r w:rsidRPr="00406151">
        <w:t>fitting a</w:t>
      </w:r>
      <w:r w:rsidRPr="00406151">
        <w:t>ncillary components, including:</w:t>
      </w:r>
    </w:p>
    <w:p w:rsidR="00000000" w:rsidRPr="00406151" w:rsidP="00406151">
      <w:pPr>
        <w:pStyle w:val="ListBullet3"/>
      </w:pPr>
      <w:r w:rsidRPr="00406151">
        <w:t>covers and seals</w:t>
      </w:r>
    </w:p>
    <w:p w:rsidR="00000000" w:rsidRPr="00406151" w:rsidP="00406151">
      <w:pPr>
        <w:pStyle w:val="ListBullet3"/>
      </w:pPr>
      <w:r w:rsidRPr="00406151">
        <w:t>housings</w:t>
      </w:r>
    </w:p>
    <w:p w:rsidR="00000000" w:rsidRPr="00406151" w:rsidP="00406151">
      <w:pPr>
        <w:pStyle w:val="ListBullet3"/>
      </w:pPr>
      <w:r w:rsidRPr="00406151">
        <w:t>diesel fuel injection pumps</w:t>
      </w:r>
    </w:p>
    <w:p w:rsidR="00000000" w:rsidRPr="00406151" w:rsidP="00406151">
      <w:pPr>
        <w:pStyle w:val="ListBullet3"/>
      </w:pPr>
      <w:r w:rsidRPr="00406151">
        <w:t>oil coolers</w:t>
      </w:r>
    </w:p>
    <w:p w:rsidR="00000000" w:rsidRPr="00406151" w:rsidP="00406151">
      <w:pPr>
        <w:pStyle w:val="ListBullet3"/>
      </w:pPr>
      <w:r w:rsidRPr="00406151">
        <w:t>crankshaft pulleys</w:t>
      </w:r>
    </w:p>
    <w:p w:rsidR="00000000" w:rsidRPr="00406151" w:rsidP="00406151">
      <w:pPr>
        <w:pStyle w:val="ListBullet3"/>
      </w:pPr>
      <w:r w:rsidRPr="00406151">
        <w:t>flywheels</w:t>
      </w:r>
    </w:p>
    <w:p w:rsidR="00000000" w:rsidRPr="00406151" w:rsidP="00406151">
      <w:pPr>
        <w:pStyle w:val="ListBullet3"/>
      </w:pPr>
      <w:r w:rsidRPr="00406151">
        <w:t>bell housings</w:t>
      </w:r>
    </w:p>
    <w:p w:rsidR="00000000" w:rsidRPr="00406151" w:rsidP="00406151">
      <w:pPr>
        <w:pStyle w:val="ListBullet"/>
      </w:pPr>
      <w:r w:rsidRPr="00406151">
        <w:t>requirements of Australian standards relevant to engine reconditioning, including:</w:t>
      </w:r>
    </w:p>
    <w:p w:rsidR="00000000" w:rsidRPr="00406151" w:rsidP="00406151">
      <w:pPr>
        <w:pStyle w:val="ListBullet2"/>
      </w:pPr>
      <w:r w:rsidRPr="00406151">
        <w:t>AS 4182 Automotive repairs –</w:t>
      </w:r>
      <w:r w:rsidRPr="00406151">
        <w:t xml:space="preserve"> Code of practice for reconditioning reciprocating spark ignition engines</w:t>
      </w:r>
    </w:p>
    <w:p w:rsidR="00000000" w:rsidRPr="00406151" w:rsidP="00406151">
      <w:pPr>
        <w:pStyle w:val="ListBullet2"/>
      </w:pPr>
      <w:r w:rsidRPr="00406151">
        <w:t>AS 4427 Automotive repairs – Code of practice for reconditioning reciprocating compression ignition engines.</w:t>
      </w:r>
    </w:p>
    <w:p w:rsidR="00000000" w:rsidRPr="00406151" w:rsidP="00406151">
      <w:pPr>
        <w:pStyle w:val="AllowPageBreak"/>
      </w:pPr>
    </w:p>
    <w:p w:rsidR="00000000" w:rsidRPr="00406151" w:rsidP="00406151">
      <w:pPr>
        <w:pStyle w:val="Heading1"/>
      </w:pPr>
      <w:bookmarkStart w:id="4" w:name="O_786033"/>
      <w:bookmarkEnd w:id="4"/>
      <w:r w:rsidRPr="00406151">
        <w:t>Assessment Conditions</w:t>
      </w:r>
    </w:p>
    <w:p w:rsidR="00000000" w:rsidRPr="00406151" w:rsidP="007946E6">
      <w:pPr>
        <w:pStyle w:val="BodyText"/>
      </w:pPr>
      <w:r w:rsidRPr="00406151">
        <w:t>Assessors must satisfy NVR/AQTF assessor requirements.</w:t>
      </w:r>
    </w:p>
    <w:p w:rsidR="00000000" w:rsidRPr="00406151" w:rsidP="007946E6">
      <w:pPr>
        <w:pStyle w:val="BodyText"/>
      </w:pPr>
      <w:r w:rsidRPr="00406151">
        <w:t>Competency is to be assessed in the workplace or a simulated environment that accurately reflects performance in a real workplace setting.</w:t>
      </w:r>
    </w:p>
    <w:p w:rsidR="00000000" w:rsidRPr="00406151" w:rsidP="007946E6">
      <w:pPr>
        <w:pStyle w:val="BodyText"/>
      </w:pPr>
      <w:r w:rsidRPr="00406151">
        <w:t>Assessment must include direct observation of tasks.</w:t>
      </w:r>
    </w:p>
    <w:p w:rsidR="00000000" w:rsidRPr="00406151" w:rsidP="007946E6">
      <w:pPr>
        <w:pStyle w:val="BodyText"/>
      </w:pPr>
      <w:r w:rsidRPr="00406151">
        <w:t xml:space="preserve">Where </w:t>
      </w:r>
      <w:r w:rsidRPr="00406151">
        <w:t>assessment of competency includes third-party evidence, individuals must provide evidence that links them to the engine block and sub-assemblies that they have assembled, e.g. repair orders.</w:t>
      </w:r>
    </w:p>
    <w:p w:rsidR="00000000" w:rsidRPr="00406151" w:rsidP="007946E6">
      <w:pPr>
        <w:pStyle w:val="BodyText"/>
      </w:pPr>
      <w:r w:rsidRPr="00406151">
        <w:t>Assessors must verify performance evidence through questioning o</w:t>
      </w:r>
      <w:r w:rsidRPr="00406151">
        <w:t>n skills and knowledge to ensure correct interpretation and application.</w:t>
      </w:r>
    </w:p>
    <w:p w:rsidR="00000000" w:rsidRPr="00406151" w:rsidP="007946E6">
      <w:pPr>
        <w:pStyle w:val="BodyText"/>
      </w:pPr>
      <w:r w:rsidRPr="00406151">
        <w:t>The following resources must be made available:</w:t>
      </w:r>
    </w:p>
    <w:p w:rsidR="00000000" w:rsidRPr="00406151" w:rsidP="00406151">
      <w:pPr>
        <w:pStyle w:val="ListBullet"/>
      </w:pPr>
      <w:r w:rsidRPr="00406151">
        <w:t>automotive repair workplace or simulated workplace</w:t>
      </w:r>
    </w:p>
    <w:p w:rsidR="00000000" w:rsidRPr="00406151" w:rsidP="00406151">
      <w:pPr>
        <w:pStyle w:val="ListBullet"/>
      </w:pPr>
      <w:r w:rsidRPr="00406151">
        <w:t>workplace instructions</w:t>
      </w:r>
    </w:p>
    <w:p w:rsidR="00000000" w:rsidRPr="00406151" w:rsidP="00406151">
      <w:pPr>
        <w:pStyle w:val="ListBullet"/>
      </w:pPr>
      <w:r w:rsidRPr="00406151">
        <w:t>engine specifications</w:t>
      </w:r>
    </w:p>
    <w:p w:rsidR="00000000" w:rsidRPr="00406151" w:rsidP="00406151">
      <w:pPr>
        <w:pStyle w:val="ListBullet"/>
      </w:pPr>
      <w:r w:rsidRPr="00406151">
        <w:t xml:space="preserve">AS 4182 Automotive repairs – Code of </w:t>
      </w:r>
      <w:r w:rsidRPr="00406151">
        <w:t>practice for reconditioning reciprocating spark ignition engines</w:t>
      </w:r>
    </w:p>
    <w:p w:rsidR="00000000" w:rsidRPr="00406151" w:rsidP="00406151">
      <w:pPr>
        <w:pStyle w:val="ListBullet"/>
      </w:pPr>
      <w:r w:rsidRPr="00406151">
        <w:t>AS 4427 Automotive repairs – Code of practice for reconditioning reciprocating compression ignition engines</w:t>
      </w:r>
    </w:p>
    <w:p w:rsidR="00000000" w:rsidRPr="00406151" w:rsidP="00406151">
      <w:pPr>
        <w:pStyle w:val="ListBullet"/>
      </w:pPr>
      <w:r w:rsidRPr="00406151">
        <w:t>two different multi-cylinder engine blocks, including:</w:t>
      </w:r>
    </w:p>
    <w:p w:rsidR="00000000" w:rsidRPr="00406151" w:rsidP="00406151">
      <w:pPr>
        <w:pStyle w:val="ListBullet2"/>
      </w:pPr>
      <w:r w:rsidRPr="00406151">
        <w:t>in-line engine blocks</w:t>
      </w:r>
    </w:p>
    <w:p w:rsidR="00000000" w:rsidRPr="00406151" w:rsidP="00406151">
      <w:pPr>
        <w:pStyle w:val="ListBullet2"/>
      </w:pPr>
      <w:r w:rsidRPr="00406151">
        <w:t>V configuration engine blocks</w:t>
      </w:r>
    </w:p>
    <w:p w:rsidR="00000000" w:rsidRPr="00406151" w:rsidP="00406151">
      <w:pPr>
        <w:pStyle w:val="ListBullet"/>
      </w:pPr>
      <w:r w:rsidRPr="00406151">
        <w:t>full gasket and seal set for the engine block</w:t>
      </w:r>
    </w:p>
    <w:p w:rsidR="00000000" w:rsidRPr="00406151" w:rsidP="00406151">
      <w:pPr>
        <w:pStyle w:val="ListBullet"/>
      </w:pPr>
      <w:r w:rsidRPr="00406151">
        <w:t>fixed and portable hand, air and power tools, lifting equipment, torque wrench and material suitable for assembling engine block</w:t>
      </w:r>
    </w:p>
    <w:p w:rsidR="00000000" w:rsidRPr="00406151" w:rsidP="00406151">
      <w:pPr>
        <w:pStyle w:val="ListBullet"/>
      </w:pPr>
      <w:r w:rsidRPr="00406151">
        <w:t>precision measuring equipment, including:</w:t>
      </w:r>
    </w:p>
    <w:p w:rsidR="00000000" w:rsidRPr="00406151" w:rsidP="00406151">
      <w:pPr>
        <w:pStyle w:val="ListBullet2"/>
      </w:pPr>
      <w:r w:rsidRPr="00406151">
        <w:t>dial bo</w:t>
      </w:r>
      <w:r w:rsidRPr="00406151">
        <w:t>re gauges</w:t>
      </w:r>
    </w:p>
    <w:p w:rsidR="00000000" w:rsidRPr="00406151" w:rsidP="00406151">
      <w:pPr>
        <w:pStyle w:val="ListBullet2"/>
      </w:pPr>
      <w:r w:rsidRPr="00406151">
        <w:t>dial indicators</w:t>
      </w:r>
    </w:p>
    <w:p w:rsidR="00000000" w:rsidRPr="00406151" w:rsidP="00406151">
      <w:pPr>
        <w:pStyle w:val="ListBullet2"/>
      </w:pPr>
      <w:r w:rsidRPr="00406151">
        <w:t>inside and outside metric and imperial micrometers.</w:t>
      </w:r>
    </w:p>
    <w:p w:rsidR="00000000" w:rsidRPr="00406151" w:rsidP="00406151">
      <w:pPr>
        <w:pStyle w:val="AllowPageBreak"/>
      </w:pPr>
    </w:p>
    <w:p w:rsidR="00000000" w:rsidRPr="00406151" w:rsidP="00406151">
      <w:pPr>
        <w:pStyle w:val="Heading1"/>
      </w:pPr>
      <w:bookmarkStart w:id="5" w:name="O_786036"/>
      <w:bookmarkEnd w:id="5"/>
      <w:r w:rsidRPr="00406151">
        <w:t>Links</w:t>
      </w:r>
    </w:p>
    <w:p w:rsidR="00000000" w:rsidRPr="00406151" w:rsidP="007946E6">
      <w:pPr>
        <w:pStyle w:val="BodyText"/>
      </w:pPr>
      <w:r w:rsidRPr="004061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377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6151" w:rsidP="007946E6">
      <w:pPr>
        <w:pStyle w:val="BodyText"/>
      </w:pPr>
      <w:r w:rsidRPr="00406151">
        <w:t>Companion</w:t>
      </w:r>
      <w:r w:rsidRPr="00406151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377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6151" w:rsidP="00406151"/>
    <w:sectPr w:rsidSect="004061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51" w:rsidRPr="007946E6" w:rsidP="00794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E6" w:rsidP="00406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6E6" w:rsidP="00406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946E6" w:rsidP="00406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151" w:rsidRPr="007946E6" w:rsidP="00794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E6" w:rsidRPr="002D2AF8" w:rsidP="00406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AURTTM004 Assemble engine blocks and sub-assemblies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946E6" w:rsidP="00406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8A8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4AF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67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151"/>
  </w:style>
  <w:style w:type="character" w:customStyle="1" w:styleId="Heading1Char">
    <w:name w:val="Heading 1 Char"/>
    <w:basedOn w:val="DefaultParagraphFont"/>
    <w:link w:val="Heading1"/>
    <w:rsid w:val="00406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1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151"/>
    <w:rPr>
      <w:b/>
      <w:spacing w:val="0"/>
    </w:rPr>
  </w:style>
  <w:style w:type="paragraph" w:styleId="ListBullet2">
    <w:name w:val="List Bullet 2"/>
    <w:basedOn w:val="List2"/>
    <w:rsid w:val="004061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6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61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6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6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6151"/>
    <w:rPr>
      <w:i/>
    </w:rPr>
  </w:style>
  <w:style w:type="paragraph" w:styleId="Caption">
    <w:name w:val="caption"/>
    <w:basedOn w:val="BodyText"/>
    <w:next w:val="Normal"/>
    <w:qFormat/>
    <w:rsid w:val="00406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151"/>
  </w:style>
  <w:style w:type="paragraph" w:styleId="TableofFigures">
    <w:name w:val="table of figures"/>
    <w:basedOn w:val="Normal"/>
    <w:next w:val="Normal"/>
    <w:semiHidden/>
    <w:rsid w:val="00406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1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6151"/>
    <w:rPr>
      <w:rFonts w:ascii="Wingdings" w:hAnsi="Wingdings"/>
    </w:rPr>
  </w:style>
  <w:style w:type="paragraph" w:customStyle="1" w:styleId="TableHeading">
    <w:name w:val="Table Heading"/>
    <w:basedOn w:val="HeadingBase"/>
    <w:rsid w:val="00406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151"/>
    <w:rPr>
      <w:color w:val="0033CC"/>
      <w:u w:val="none"/>
    </w:rPr>
  </w:style>
  <w:style w:type="paragraph" w:customStyle="1" w:styleId="BodyTextRight">
    <w:name w:val="Body Text Right"/>
    <w:basedOn w:val="BodyText"/>
    <w:rsid w:val="00406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1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151"/>
    <w:rPr>
      <w:sz w:val="32"/>
    </w:rPr>
  </w:style>
  <w:style w:type="paragraph" w:customStyle="1" w:styleId="HeadingProcedure">
    <w:name w:val="Heading Procedure"/>
    <w:basedOn w:val="HeadingBase"/>
    <w:next w:val="Normal"/>
    <w:rsid w:val="00406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151"/>
    <w:pPr>
      <w:spacing w:before="60" w:after="60"/>
    </w:pPr>
  </w:style>
  <w:style w:type="paragraph" w:styleId="ListContinue">
    <w:name w:val="List Continue"/>
    <w:basedOn w:val="List"/>
    <w:rsid w:val="00406151"/>
    <w:pPr>
      <w:ind w:firstLine="0"/>
    </w:pPr>
  </w:style>
  <w:style w:type="paragraph" w:customStyle="1" w:styleId="ListNote">
    <w:name w:val="List Note"/>
    <w:basedOn w:val="List"/>
    <w:rsid w:val="00406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151"/>
    <w:rPr>
      <w:rFonts w:ascii="Courier New" w:hAnsi="Courier New"/>
    </w:rPr>
  </w:style>
  <w:style w:type="paragraph" w:customStyle="1" w:styleId="NoteBullet">
    <w:name w:val="Note Bullet"/>
    <w:basedOn w:val="Note"/>
    <w:rsid w:val="00406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1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6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151"/>
    <w:rPr>
      <w:b/>
      <w:smallCaps/>
    </w:rPr>
  </w:style>
  <w:style w:type="paragraph" w:customStyle="1" w:styleId="TableListNumber">
    <w:name w:val="Table List Number"/>
    <w:basedOn w:val="ListNumber"/>
    <w:rsid w:val="00406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151"/>
    <w:pPr>
      <w:numPr>
        <w:numId w:val="10"/>
      </w:numPr>
    </w:pPr>
  </w:style>
  <w:style w:type="paragraph" w:customStyle="1" w:styleId="ListAlpha2">
    <w:name w:val="List Alpha 2"/>
    <w:basedOn w:val="List2"/>
    <w:rsid w:val="00406151"/>
    <w:pPr>
      <w:numPr>
        <w:numId w:val="9"/>
      </w:numPr>
    </w:pPr>
  </w:style>
  <w:style w:type="paragraph" w:styleId="List2">
    <w:name w:val="List 2"/>
    <w:basedOn w:val="BodyText"/>
    <w:rsid w:val="00406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1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61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6151"/>
    <w:pPr>
      <w:numPr>
        <w:numId w:val="5"/>
      </w:numPr>
    </w:pPr>
  </w:style>
  <w:style w:type="paragraph" w:styleId="ListContinue2">
    <w:name w:val="List Continue 2"/>
    <w:basedOn w:val="List2"/>
    <w:rsid w:val="00406151"/>
    <w:pPr>
      <w:ind w:firstLine="0"/>
    </w:pPr>
  </w:style>
  <w:style w:type="paragraph" w:styleId="ListContinue3">
    <w:name w:val="List Continue 3"/>
    <w:basedOn w:val="List3"/>
    <w:rsid w:val="00406151"/>
    <w:pPr>
      <w:ind w:left="1021" w:firstLine="0"/>
    </w:pPr>
  </w:style>
  <w:style w:type="paragraph" w:styleId="ListContinue4">
    <w:name w:val="List Continue 4"/>
    <w:basedOn w:val="List4"/>
    <w:rsid w:val="00406151"/>
    <w:pPr>
      <w:ind w:firstLine="0"/>
    </w:pPr>
  </w:style>
  <w:style w:type="paragraph" w:styleId="ListContinue5">
    <w:name w:val="List Continue 5"/>
    <w:basedOn w:val="List5"/>
    <w:rsid w:val="00406151"/>
    <w:pPr>
      <w:ind w:firstLine="0"/>
    </w:pPr>
  </w:style>
  <w:style w:type="paragraph" w:styleId="ListNumber3">
    <w:name w:val="List Number 3"/>
    <w:basedOn w:val="List3"/>
    <w:rsid w:val="00406151"/>
    <w:pPr>
      <w:numPr>
        <w:numId w:val="6"/>
      </w:numPr>
    </w:pPr>
  </w:style>
  <w:style w:type="paragraph" w:styleId="ListNumber4">
    <w:name w:val="List Number 4"/>
    <w:basedOn w:val="List4"/>
    <w:rsid w:val="00406151"/>
    <w:pPr>
      <w:numPr>
        <w:numId w:val="7"/>
      </w:numPr>
    </w:pPr>
  </w:style>
  <w:style w:type="paragraph" w:styleId="ListNumber5">
    <w:name w:val="List Number 5"/>
    <w:basedOn w:val="List5"/>
    <w:rsid w:val="00406151"/>
    <w:pPr>
      <w:numPr>
        <w:numId w:val="8"/>
      </w:numPr>
    </w:pPr>
  </w:style>
  <w:style w:type="paragraph" w:styleId="BlockText">
    <w:name w:val="Block Text"/>
    <w:basedOn w:val="Normal"/>
    <w:rsid w:val="00406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151"/>
    <w:rPr>
      <w:sz w:val="16"/>
      <w:vertAlign w:val="superscript"/>
    </w:rPr>
  </w:style>
  <w:style w:type="character" w:customStyle="1" w:styleId="Symbols">
    <w:name w:val="Symbols"/>
    <w:basedOn w:val="DefaultParagraphFont"/>
    <w:rsid w:val="00406151"/>
    <w:rPr>
      <w:rFonts w:ascii="Symbol" w:hAnsi="Symbol"/>
    </w:rPr>
  </w:style>
  <w:style w:type="character" w:customStyle="1" w:styleId="MenuOptions">
    <w:name w:val="Menu Options"/>
    <w:basedOn w:val="DefaultParagraphFont"/>
    <w:rsid w:val="00406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151"/>
    <w:rPr>
      <w:b/>
    </w:rPr>
  </w:style>
  <w:style w:type="character" w:customStyle="1" w:styleId="Underlined">
    <w:name w:val="Underlined"/>
    <w:basedOn w:val="DefaultParagraphFont"/>
    <w:rsid w:val="00406151"/>
    <w:rPr>
      <w:u w:val="single"/>
    </w:rPr>
  </w:style>
  <w:style w:type="paragraph" w:customStyle="1" w:styleId="TableBodyTextRight">
    <w:name w:val="Table Body Text Right"/>
    <w:basedOn w:val="TableBodyText"/>
    <w:rsid w:val="00406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151"/>
    <w:rPr>
      <w:sz w:val="18"/>
    </w:rPr>
  </w:style>
  <w:style w:type="paragraph" w:customStyle="1" w:styleId="BodySmallRight">
    <w:name w:val="Body Small Right"/>
    <w:basedOn w:val="BodyTextRight"/>
    <w:rsid w:val="00406151"/>
    <w:rPr>
      <w:sz w:val="18"/>
      <w:szCs w:val="18"/>
    </w:rPr>
  </w:style>
  <w:style w:type="paragraph" w:customStyle="1" w:styleId="MarginEdition">
    <w:name w:val="Margin Edition"/>
    <w:basedOn w:val="MarginNote"/>
    <w:rsid w:val="00406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151"/>
    <w:rPr>
      <w:sz w:val="2"/>
      <w:szCs w:val="2"/>
    </w:rPr>
  </w:style>
  <w:style w:type="character" w:customStyle="1" w:styleId="Small">
    <w:name w:val="Small"/>
    <w:basedOn w:val="DefaultParagraphFont"/>
    <w:rsid w:val="00406151"/>
    <w:rPr>
      <w:sz w:val="16"/>
    </w:rPr>
  </w:style>
  <w:style w:type="paragraph" w:customStyle="1" w:styleId="WideTable">
    <w:name w:val="Wide Table"/>
    <w:basedOn w:val="Normal"/>
    <w:rsid w:val="00406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151"/>
  </w:style>
  <w:style w:type="paragraph" w:styleId="Quote">
    <w:name w:val="Quote"/>
    <w:basedOn w:val="Heading1"/>
    <w:link w:val="QuoteChar"/>
    <w:qFormat/>
    <w:rsid w:val="00406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151"/>
    <w:pPr>
      <w:pageBreakBefore/>
    </w:pPr>
  </w:style>
  <w:style w:type="paragraph" w:customStyle="1" w:styleId="Border">
    <w:name w:val="Border"/>
    <w:basedOn w:val="Normal"/>
    <w:qFormat/>
    <w:rsid w:val="00406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151"/>
    <w:rPr>
      <w:u w:val="single"/>
    </w:rPr>
  </w:style>
  <w:style w:type="character" w:customStyle="1" w:styleId="BoldandItalics">
    <w:name w:val="Bold and Italics"/>
    <w:qFormat/>
    <w:rsid w:val="00406151"/>
    <w:rPr>
      <w:b/>
      <w:i/>
      <w:u w:val="none"/>
    </w:rPr>
  </w:style>
  <w:style w:type="paragraph" w:styleId="BalloonText">
    <w:name w:val="Balloon Text"/>
    <w:basedOn w:val="Normal"/>
    <w:link w:val="BalloonTextChar"/>
    <w:rsid w:val="00406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151"/>
    <w:pPr>
      <w:spacing w:before="0" w:after="0"/>
    </w:pPr>
  </w:style>
  <w:style w:type="paragraph" w:customStyle="1" w:styleId="BodyTextBold">
    <w:name w:val="Body Text Bold"/>
    <w:basedOn w:val="BodyText"/>
    <w:qFormat/>
    <w:rsid w:val="00406151"/>
    <w:rPr>
      <w:b/>
    </w:rPr>
  </w:style>
  <w:style w:type="character" w:styleId="Hyperlink">
    <w:name w:val="Hyperlink"/>
    <w:basedOn w:val="DefaultParagraphFont"/>
    <w:uiPriority w:val="99"/>
    <w:unhideWhenUsed/>
    <w:rsid w:val="00794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4404</Characters>
  <Application>Microsoft Office Word</Application>
  <DocSecurity>0</DocSecurity>
  <Lines>125</Lines>
  <Paragraphs>100</Paragraphs>
  <ScaleCrop>false</ScaleCrop>
  <Company>Author-it Software Corporation Ltd.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AURTTM004 Assemble engine blocks and sub-assemblies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