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A23" w:rsidP="00F70A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AURTTL111 Diagnose complex faults in CNG fuel systems</w:t>
      </w:r>
      <w:r>
        <w:fldChar w:fldCharType="end"/>
      </w:r>
    </w:p>
    <w:p w:rsidR="00F70A23" w:rsidP="00F70A23">
      <w:pPr>
        <w:pStyle w:val="Version"/>
        <w:sectPr w:rsidSect="00A61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955" w:rsidP="00A61955">
      <w:pPr>
        <w:pStyle w:val="SuperHeading"/>
      </w:pPr>
      <w:r w:rsidRPr="00A61955">
        <w:t>AURTTL111 Diagnose complex faults in CNG fuel systems</w:t>
      </w:r>
    </w:p>
    <w:p w:rsidR="00000000" w:rsidRPr="00A61955" w:rsidP="00A61955">
      <w:pPr>
        <w:pStyle w:val="Heading1"/>
      </w:pPr>
      <w:bookmarkStart w:id="1" w:name="O_1128296"/>
      <w:bookmarkEnd w:id="1"/>
      <w:r w:rsidRPr="00A619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6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55" w:rsidP="00A61955">
            <w:pPr>
              <w:pStyle w:val="BodyText"/>
            </w:pPr>
            <w:r w:rsidRPr="00A6195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BodyText"/>
              <w:rPr>
                <w:lang w:val="en-NZ"/>
              </w:rPr>
            </w:pPr>
            <w:r w:rsidRPr="00A61955">
              <w:rPr>
                <w:rStyle w:val="SpecialBold"/>
              </w:rPr>
              <w:t>Comments</w:t>
            </w:r>
          </w:p>
        </w:tc>
      </w:tr>
      <w:tr w:rsidTr="00A6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BodyText"/>
              <w:rPr>
                <w:lang w:val="en-NZ"/>
              </w:rPr>
            </w:pPr>
            <w:r w:rsidRPr="00A6195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55" w:rsidP="00A61955">
            <w:pPr>
              <w:pStyle w:val="BodyText"/>
            </w:pPr>
            <w:r w:rsidRPr="00A61955">
              <w:t>This version first released with AUR Automotive Retail, Service and Repair Training Package Version 6.0</w:t>
            </w:r>
          </w:p>
        </w:tc>
      </w:tr>
    </w:tbl>
    <w:p w:rsidR="00000000" w:rsidRPr="00A61955" w:rsidP="00A61955">
      <w:pPr>
        <w:pStyle w:val="BodyText"/>
      </w:pPr>
    </w:p>
    <w:p w:rsidR="00000000" w:rsidRPr="00A61955" w:rsidP="00A61955">
      <w:pPr>
        <w:pStyle w:val="AllowPageBreak"/>
      </w:pPr>
    </w:p>
    <w:p w:rsidR="00000000" w:rsidRPr="00A61955" w:rsidP="00A61955">
      <w:pPr>
        <w:pStyle w:val="Heading1"/>
      </w:pPr>
      <w:bookmarkStart w:id="2" w:name="O_1128303"/>
      <w:bookmarkEnd w:id="2"/>
      <w:r w:rsidRPr="00A61955">
        <w:t>Application</w:t>
      </w:r>
    </w:p>
    <w:p w:rsidR="00000000" w:rsidRPr="00A61955" w:rsidP="00F70A23">
      <w:pPr>
        <w:pStyle w:val="BodyText"/>
      </w:pPr>
      <w:r w:rsidRPr="00A61955">
        <w:t>This unit describes the skills and knowledge require</w:t>
      </w:r>
      <w:r w:rsidRPr="00A61955">
        <w:t>d to diagnose complex faults in compressed natural gas (CNG) fuel systems and determine the repair action necessary to restore system performance. It involves confirming the existence of a fault, choosing the diagnostic procedure and tools, applying the di</w:t>
      </w:r>
      <w:r w:rsidRPr="00A61955">
        <w:t>agnostic procedure, reporting conclusions and making repair recommendations. Complex faults are outside the normal scope of a technician’s diagnosis and repair work. They include intermittent faults, multi-system faults, faults introduced as a result of sy</w:t>
      </w:r>
      <w:r w:rsidRPr="00A61955">
        <w:t>stem repairs, and indirect faults caused by the influence of external systems, requiring the application of complex diagnostic processes to resolve.</w:t>
      </w:r>
    </w:p>
    <w:p w:rsidR="00000000" w:rsidRPr="00A61955" w:rsidP="00F70A23">
      <w:pPr>
        <w:pStyle w:val="BodyText"/>
      </w:pPr>
      <w:r w:rsidRPr="00A61955">
        <w:t>The unit applies to those working in the automotive service and repair industry. The CNG fuel systems inclu</w:t>
      </w:r>
      <w:r w:rsidRPr="00A61955">
        <w:t>de those in vehicles from all sectors of the industry.</w:t>
      </w:r>
    </w:p>
    <w:p w:rsidR="00000000" w:rsidRPr="00A61955" w:rsidP="00F70A23">
      <w:pPr>
        <w:pStyle w:val="BodyText"/>
      </w:pPr>
      <w:r w:rsidRPr="00A61955">
        <w:t>Licensing, legislative, regulatory or certification requirements may apply to this unit in some jurisdictions. Users are advised to check with the relevant regulatory authority.</w:t>
      </w:r>
    </w:p>
    <w:p w:rsidR="00000000" w:rsidRPr="00A61955" w:rsidP="00A61955">
      <w:pPr>
        <w:pStyle w:val="Heading1"/>
      </w:pPr>
      <w:bookmarkStart w:id="3" w:name="O_1128301"/>
      <w:bookmarkEnd w:id="3"/>
      <w:r w:rsidRPr="00A61955">
        <w:t>Unit</w:t>
      </w:r>
      <w:r w:rsidRPr="00A61955">
        <w:t xml:space="preserve"> Sector</w:t>
      </w:r>
    </w:p>
    <w:p w:rsidR="00000000" w:rsidRPr="00A61955" w:rsidP="00F70A23">
      <w:pPr>
        <w:pStyle w:val="BodyText"/>
      </w:pPr>
      <w:r w:rsidRPr="00A61955">
        <w:t>Mechanical Miscellaneous Technical - Alternative Fuels</w:t>
      </w:r>
    </w:p>
    <w:p w:rsidR="00000000" w:rsidRPr="00A61955" w:rsidP="00A61955">
      <w:pPr>
        <w:pStyle w:val="Heading1"/>
      </w:pPr>
      <w:bookmarkStart w:id="4" w:name="O_1128300"/>
      <w:bookmarkEnd w:id="4"/>
      <w:r w:rsidRPr="00A619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A6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55" w:rsidP="00A61955">
            <w:pPr>
              <w:pStyle w:val="BodyText"/>
            </w:pPr>
            <w:r w:rsidRPr="00A61955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BodyText"/>
              <w:rPr>
                <w:lang w:val="en-NZ"/>
              </w:rPr>
            </w:pPr>
            <w:r w:rsidRPr="00A61955">
              <w:rPr>
                <w:rStyle w:val="SpecialBold"/>
              </w:rPr>
              <w:t>PERFORMANCE CRITERIA</w:t>
            </w:r>
          </w:p>
        </w:tc>
      </w:tr>
      <w:tr w:rsidTr="00A6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55" w:rsidP="00A61955">
            <w:pPr>
              <w:pStyle w:val="BodyText"/>
            </w:pPr>
            <w:r w:rsidRPr="00A61955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BodyText"/>
              <w:rPr>
                <w:lang w:val="en-NZ"/>
              </w:rPr>
            </w:pPr>
            <w:r w:rsidRPr="00A619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List"/>
              <w:rPr>
                <w:lang w:val="en-NZ"/>
              </w:rPr>
            </w:pPr>
            <w:r w:rsidRPr="00A61955">
              <w:t>1. Identify and confirm the work requirement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55" w:rsidP="00A61955">
            <w:pPr>
              <w:pStyle w:val="List"/>
            </w:pPr>
            <w:r w:rsidRPr="00A61955">
              <w:t xml:space="preserve">1.1 Determine nature and objective of diagnosis requirements from workplace instructions </w:t>
            </w:r>
          </w:p>
          <w:p w:rsidR="00000000" w:rsidRPr="00A61955" w:rsidP="00A61955">
            <w:pPr>
              <w:pStyle w:val="List"/>
            </w:pPr>
            <w:r w:rsidRPr="00A61955">
              <w:t>1.2 Confirm existence of</w:t>
            </w:r>
            <w:r w:rsidRPr="00A61955">
              <w:t xml:space="preserve"> fault in CNG fuel system from direct or indirect evidence</w:t>
            </w:r>
          </w:p>
          <w:p w:rsidR="00000000" w:rsidP="00A61955">
            <w:pPr>
              <w:pStyle w:val="List"/>
              <w:rPr>
                <w:lang w:val="en-NZ"/>
              </w:rPr>
            </w:pPr>
            <w:r w:rsidRPr="00A61955">
              <w:t>1.3 Identify hazards associated with the work and manage risks according to workplace procedures, and safety and environmental requirements</w:t>
            </w:r>
          </w:p>
        </w:tc>
      </w:tr>
      <w:tr w:rsidTr="00A6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List"/>
              <w:rPr>
                <w:lang w:val="en-NZ"/>
              </w:rPr>
            </w:pPr>
            <w:r w:rsidRPr="00A61955">
              <w:t>2. Prepare to diagnose complex faults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55" w:rsidP="00A61955">
            <w:pPr>
              <w:pStyle w:val="List"/>
            </w:pPr>
            <w:r w:rsidRPr="00A61955">
              <w:t>2.1 Access and int</w:t>
            </w:r>
            <w:r w:rsidRPr="00A61955">
              <w:t>erpret manufacturer specifications and other technical information for CNG fuel system</w:t>
            </w:r>
          </w:p>
          <w:p w:rsidR="00000000" w:rsidRPr="00A61955" w:rsidP="00A61955">
            <w:pPr>
              <w:pStyle w:val="List"/>
            </w:pPr>
            <w:r w:rsidRPr="00A61955">
              <w:t xml:space="preserve">2.2 Identify diagnostic procedures and options </w:t>
            </w:r>
          </w:p>
          <w:p w:rsidR="00000000" w:rsidRPr="00A61955" w:rsidP="00A61955">
            <w:pPr>
              <w:pStyle w:val="List"/>
            </w:pPr>
            <w:r w:rsidRPr="00A61955">
              <w:t>2.3 Select diagnostic method sequence, tests and testing processes from the range of identified options</w:t>
            </w:r>
          </w:p>
          <w:p w:rsidR="00000000" w:rsidRPr="00A61955" w:rsidP="00A61955">
            <w:pPr>
              <w:pStyle w:val="List"/>
            </w:pPr>
            <w:r w:rsidRPr="00A61955">
              <w:t>2.4 Select and pr</w:t>
            </w:r>
            <w:r w:rsidRPr="00A61955">
              <w:t>epare testing equipment according to manufacturer specifications and workplace procedures</w:t>
            </w:r>
          </w:p>
          <w:p w:rsidR="00000000" w:rsidP="00A61955">
            <w:pPr>
              <w:pStyle w:val="List"/>
              <w:rPr>
                <w:lang w:val="en-NZ"/>
              </w:rPr>
            </w:pPr>
            <w:r w:rsidRPr="00A61955">
              <w:t>2.5 Identify, select and prepare tools, equipment and materials required to support the diagnostic process for use</w:t>
            </w:r>
          </w:p>
        </w:tc>
      </w:tr>
      <w:tr w:rsidTr="00A6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List"/>
              <w:rPr>
                <w:lang w:val="en-NZ"/>
              </w:rPr>
            </w:pPr>
            <w:r w:rsidRPr="00A61955">
              <w:t>3. Apply diagnostic procedures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55" w:rsidP="00A61955">
            <w:pPr>
              <w:pStyle w:val="List"/>
            </w:pPr>
            <w:r w:rsidRPr="00A61955">
              <w:t>3.1 Follow selected diagnostic process and carry out testing according to manufacturer specifications, workplace procedures, and safety and environmental requirements</w:t>
            </w:r>
          </w:p>
          <w:p w:rsidR="00000000" w:rsidRPr="00A61955" w:rsidP="00A61955">
            <w:pPr>
              <w:pStyle w:val="List"/>
            </w:pPr>
            <w:r w:rsidRPr="00A61955">
              <w:t>3.2 Confirm diagnostic findings, as required, by using alternative or optional process ac</w:t>
            </w:r>
            <w:r w:rsidRPr="00A61955">
              <w:t>cording to manufacturer specifications and workplace procedures</w:t>
            </w:r>
          </w:p>
          <w:p w:rsidR="00000000" w:rsidRPr="00A61955" w:rsidP="00A61955">
            <w:pPr>
              <w:pStyle w:val="List"/>
            </w:pPr>
            <w:r w:rsidRPr="00A61955">
              <w:t>3.3 Draw and document conclusions from findings according to workplace procedures and develop recommendations for required repairs that comply with AS/NZS 2739 Natural gas (NG) fuel systems fo</w:t>
            </w:r>
            <w:r w:rsidRPr="00A61955">
              <w:t>r vehicle engines</w:t>
            </w:r>
          </w:p>
          <w:p w:rsidR="00000000" w:rsidP="00A61955">
            <w:pPr>
              <w:pStyle w:val="List"/>
              <w:rPr>
                <w:lang w:val="en-NZ"/>
              </w:rPr>
            </w:pPr>
            <w:r w:rsidRPr="00A61955">
              <w:t>3.4 Provide conclusions to required personnel or customer to confirm further action to be taken</w:t>
            </w:r>
          </w:p>
        </w:tc>
      </w:tr>
      <w:tr w:rsidTr="00A6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List"/>
              <w:rPr>
                <w:lang w:val="en-NZ"/>
              </w:rPr>
            </w:pPr>
            <w:r w:rsidRPr="00A61955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55" w:rsidP="00A61955">
            <w:pPr>
              <w:pStyle w:val="List"/>
            </w:pPr>
            <w:r w:rsidRPr="00A61955">
              <w:t>4.1 Conduct final inspection according to workplace procedures and confirm vehicle is ready for use </w:t>
            </w:r>
          </w:p>
          <w:p w:rsidR="00000000" w:rsidRPr="00A61955" w:rsidP="00A61955">
            <w:pPr>
              <w:pStyle w:val="List"/>
            </w:pPr>
            <w:r w:rsidRPr="00A61955">
              <w:t>4.2 Clear wor</w:t>
            </w:r>
            <w:r w:rsidRPr="00A61955">
              <w:t>k area and dispose of or recycle materials according to workplace procedures</w:t>
            </w:r>
          </w:p>
          <w:p w:rsidR="00000000" w:rsidRPr="00A61955" w:rsidP="00A61955">
            <w:pPr>
              <w:pStyle w:val="List"/>
            </w:pPr>
            <w:r w:rsidRPr="00A61955">
              <w:t>4.3 Complete documentation according to workplace procedures</w:t>
            </w:r>
          </w:p>
        </w:tc>
      </w:tr>
    </w:tbl>
    <w:p w:rsidR="00000000" w:rsidRPr="00A61955" w:rsidP="00A61955">
      <w:pPr>
        <w:pStyle w:val="BodyText"/>
      </w:pPr>
    </w:p>
    <w:p w:rsidR="00000000" w:rsidRPr="00A61955" w:rsidP="00A61955">
      <w:pPr>
        <w:pStyle w:val="AllowPageBreak"/>
      </w:pPr>
    </w:p>
    <w:p w:rsidR="00000000" w:rsidRPr="00A61955" w:rsidP="00A61955">
      <w:pPr>
        <w:pStyle w:val="Heading1"/>
      </w:pPr>
      <w:bookmarkStart w:id="5" w:name="O_1128299"/>
      <w:bookmarkEnd w:id="5"/>
      <w:r w:rsidRPr="00A61955">
        <w:t>Foundation Skills</w:t>
      </w:r>
    </w:p>
    <w:p w:rsidR="00000000" w:rsidRPr="00F70A23" w:rsidP="00F70A23">
      <w:pPr>
        <w:pStyle w:val="BodyText"/>
        <w:rPr>
          <w:i/>
        </w:rPr>
      </w:pPr>
      <w:r w:rsidRPr="00F70A23">
        <w:rPr>
          <w:rStyle w:val="Emphasis"/>
        </w:rPr>
        <w:t>This section describes those language, literacy, numeracy and employment skills</w:t>
      </w:r>
      <w:r w:rsidRPr="00F70A23">
        <w:rPr>
          <w:rStyle w:val="Emphasis"/>
        </w:rPr>
        <w:t xml:space="preserve"> that are essential to performance but not explicit in the performance criteria.</w:t>
      </w:r>
    </w:p>
    <w:tbl>
      <w:tblPr>
        <w:tblW w:w="92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524"/>
      </w:tblGrid>
      <w:tr w:rsidTr="00A61955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55" w:rsidP="00A61955">
            <w:pPr>
              <w:pStyle w:val="BodyText"/>
            </w:pPr>
            <w:r w:rsidRPr="00A61955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BodyText"/>
              <w:rPr>
                <w:lang w:val="en-NZ"/>
              </w:rPr>
            </w:pPr>
            <w:r w:rsidRPr="00A61955">
              <w:rPr>
                <w:rStyle w:val="SpecialBold"/>
              </w:rPr>
              <w:t>DESCRIPTION</w:t>
            </w:r>
          </w:p>
        </w:tc>
      </w:tr>
      <w:tr w:rsidTr="00A61955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BodyText"/>
              <w:rPr>
                <w:lang w:val="en-NZ"/>
              </w:rPr>
            </w:pPr>
            <w:r w:rsidRPr="00A61955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55" w:rsidP="00A61955">
            <w:pPr>
              <w:pStyle w:val="ListBullet"/>
            </w:pPr>
            <w:r w:rsidRPr="00A61955">
              <w:t>Locates required sources of information efficiently</w:t>
            </w:r>
          </w:p>
          <w:p w:rsidR="00000000" w:rsidP="00A61955">
            <w:pPr>
              <w:pStyle w:val="ListBullet"/>
              <w:rPr>
                <w:lang w:val="en-NZ"/>
              </w:rPr>
            </w:pPr>
            <w:r w:rsidRPr="00A61955">
              <w:t>Applies diagnostic skills to different CNG fuel systems.</w:t>
            </w:r>
          </w:p>
        </w:tc>
      </w:tr>
      <w:tr w:rsidTr="00A61955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BodyText"/>
              <w:rPr>
                <w:lang w:val="en-NZ"/>
              </w:rPr>
            </w:pPr>
            <w:r w:rsidRPr="00A61955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55" w:rsidP="00A61955">
            <w:pPr>
              <w:pStyle w:val="ListBullet"/>
            </w:pPr>
            <w:r w:rsidRPr="00A61955">
              <w:t>Measures CNG fuel system components and uses basic mathematical operations, including addition and subtraction</w:t>
            </w:r>
          </w:p>
          <w:p w:rsidR="00000000" w:rsidRPr="00A61955" w:rsidP="00A61955">
            <w:pPr>
              <w:pStyle w:val="ListBullet"/>
            </w:pPr>
            <w:r w:rsidRPr="00A61955">
              <w:t>Calculates deviations and tolerances from manufacturer specifications</w:t>
            </w:r>
          </w:p>
          <w:p w:rsidR="00000000" w:rsidP="00A61955">
            <w:pPr>
              <w:pStyle w:val="ListBullet"/>
              <w:rPr>
                <w:lang w:val="en-NZ"/>
              </w:rPr>
            </w:pPr>
            <w:r w:rsidRPr="00A61955">
              <w:t xml:space="preserve">Uses gauges and interpret units, such as kilopascals and </w:t>
            </w:r>
            <w:r w:rsidRPr="00A61955">
              <w:t xml:space="preserve">pounds per square </w:t>
            </w:r>
            <w:r w:rsidRPr="00A61955">
              <w:t>inch (PSI).</w:t>
            </w:r>
          </w:p>
        </w:tc>
      </w:tr>
      <w:tr w:rsidTr="00A61955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BodyText"/>
              <w:rPr>
                <w:lang w:val="en-NZ"/>
              </w:rPr>
            </w:pPr>
            <w:r w:rsidRPr="00A61955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55" w:rsidP="00A61955">
            <w:pPr>
              <w:pStyle w:val="ListBullet"/>
            </w:pPr>
            <w:r w:rsidRPr="00A61955">
              <w:t>Clarifies instructions</w:t>
            </w:r>
          </w:p>
          <w:p w:rsidR="00000000" w:rsidP="00A61955">
            <w:pPr>
              <w:pStyle w:val="ListBullet"/>
              <w:rPr>
                <w:lang w:val="en-NZ"/>
              </w:rPr>
            </w:pPr>
            <w:r w:rsidRPr="00A61955">
              <w:t>Obtains information from customers and supervisors.</w:t>
            </w:r>
          </w:p>
        </w:tc>
      </w:tr>
      <w:tr w:rsidTr="00A61955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BodyText"/>
              <w:rPr>
                <w:lang w:val="en-NZ"/>
              </w:rPr>
            </w:pPr>
            <w:r w:rsidRPr="00A61955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ListBullet"/>
              <w:rPr>
                <w:lang w:val="en-NZ"/>
              </w:rPr>
            </w:pPr>
            <w:r w:rsidRPr="00A61955">
              <w:t xml:space="preserve">Identifies, organises and interprets technical information from manufacturer and workshop </w:t>
            </w:r>
            <w:r w:rsidRPr="00A61955">
              <w:t>literature when seeking CNG fuel system specifications and procedures.</w:t>
            </w:r>
          </w:p>
        </w:tc>
      </w:tr>
      <w:tr w:rsidTr="00A61955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BodyText"/>
              <w:rPr>
                <w:lang w:val="en-NZ"/>
              </w:rPr>
            </w:pPr>
            <w:r w:rsidRPr="00A61955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55" w:rsidP="00A61955">
            <w:pPr>
              <w:pStyle w:val="ListBullet"/>
            </w:pPr>
            <w:r w:rsidRPr="00A61955">
              <w:t>Plans own work requirements</w:t>
            </w:r>
          </w:p>
          <w:p w:rsidR="00000000" w:rsidRPr="00A61955" w:rsidP="00A61955">
            <w:pPr>
              <w:pStyle w:val="ListBullet"/>
            </w:pPr>
            <w:r w:rsidRPr="00A61955">
              <w:t xml:space="preserve">Prioritises actions to achieve required outcomes </w:t>
            </w:r>
          </w:p>
          <w:p w:rsidR="00000000" w:rsidP="00A61955">
            <w:pPr>
              <w:pStyle w:val="ListBullet"/>
              <w:rPr>
                <w:lang w:val="en-NZ"/>
              </w:rPr>
            </w:pPr>
            <w:r w:rsidRPr="00A61955">
              <w:t>Ensures tasks are completed within workplace timeframes.</w:t>
            </w:r>
          </w:p>
        </w:tc>
      </w:tr>
      <w:tr w:rsidTr="00A61955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55">
            <w:pPr>
              <w:pStyle w:val="BodyText"/>
              <w:rPr>
                <w:lang w:val="en-NZ"/>
              </w:rPr>
            </w:pPr>
            <w:r w:rsidRPr="00A61955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55" w:rsidP="00A61955">
            <w:pPr>
              <w:pStyle w:val="ListBullet"/>
            </w:pPr>
            <w:r w:rsidRPr="00A61955">
              <w:t>Uses prec</w:t>
            </w:r>
            <w:r w:rsidRPr="00A61955">
              <w:t>ision measuring equipment</w:t>
            </w:r>
          </w:p>
          <w:p w:rsidR="00000000" w:rsidRPr="00A61955" w:rsidP="00A61955">
            <w:pPr>
              <w:pStyle w:val="ListBullet"/>
            </w:pPr>
            <w:r w:rsidRPr="00A61955">
              <w:t>Uses specialised diagnostic equipment.</w:t>
            </w:r>
          </w:p>
        </w:tc>
      </w:tr>
    </w:tbl>
    <w:p w:rsidR="00000000" w:rsidRPr="00A61955" w:rsidP="00A61955">
      <w:pPr>
        <w:pStyle w:val="BodyText"/>
      </w:pPr>
    </w:p>
    <w:p w:rsidR="00000000" w:rsidRPr="00A61955" w:rsidP="00A61955">
      <w:pPr>
        <w:pStyle w:val="AllowPageBreak"/>
      </w:pPr>
    </w:p>
    <w:p w:rsidR="00000000" w:rsidRPr="00A61955" w:rsidP="00A61955">
      <w:pPr>
        <w:pStyle w:val="Heading1"/>
      </w:pPr>
      <w:bookmarkStart w:id="6" w:name="O_1128297"/>
      <w:bookmarkEnd w:id="6"/>
      <w:r w:rsidRPr="00A61955">
        <w:t>Unit Mapping Information</w:t>
      </w:r>
    </w:p>
    <w:p w:rsidR="00000000" w:rsidRPr="00A61955" w:rsidP="00F70A23">
      <w:pPr>
        <w:pStyle w:val="BodyText"/>
      </w:pPr>
      <w:r w:rsidRPr="00A61955">
        <w:t>Supersedes and is equivalent to AURTTL011 Diagnose complex faults in CNG fuel systems.</w:t>
      </w:r>
    </w:p>
    <w:p w:rsidR="00000000" w:rsidRPr="00A61955" w:rsidP="00A61955">
      <w:pPr>
        <w:pStyle w:val="Heading1"/>
      </w:pPr>
      <w:bookmarkStart w:id="7" w:name="O_1128290"/>
      <w:bookmarkEnd w:id="7"/>
      <w:r w:rsidRPr="00A61955">
        <w:t>Links</w:t>
      </w:r>
    </w:p>
    <w:p w:rsidR="00000000" w:rsidRPr="00A61955" w:rsidP="00F70A23">
      <w:pPr>
        <w:pStyle w:val="BodyText"/>
      </w:pPr>
      <w:r w:rsidRPr="00A619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B26E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61955" w:rsidP="00A61955"/>
    <w:sectPr w:rsidSect="00A619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55" w:rsidRPr="00F70A23" w:rsidP="00F70A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23" w:rsidP="00A61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A23" w:rsidP="00A61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0A23" w:rsidP="00A61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955" w:rsidRPr="00F70A23" w:rsidP="00F70A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23" w:rsidRPr="002D2AF8" w:rsidP="00A61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AURTTL111 Diagnose complex faults in CNG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F70A23" w:rsidP="00A61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587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F4F5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955"/>
  </w:style>
  <w:style w:type="character" w:customStyle="1" w:styleId="Heading1Char">
    <w:name w:val="Heading 1 Char"/>
    <w:basedOn w:val="DefaultParagraphFont"/>
    <w:link w:val="Heading1"/>
    <w:rsid w:val="00A61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9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19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19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955"/>
    <w:rPr>
      <w:b/>
      <w:spacing w:val="0"/>
    </w:rPr>
  </w:style>
  <w:style w:type="character" w:styleId="Emphasis">
    <w:name w:val="Emphasis"/>
    <w:basedOn w:val="DefaultParagraphFont"/>
    <w:qFormat/>
    <w:rsid w:val="00A61955"/>
    <w:rPr>
      <w:i/>
    </w:rPr>
  </w:style>
  <w:style w:type="paragraph" w:customStyle="1" w:styleId="SuperHeading">
    <w:name w:val="SuperHeading"/>
    <w:basedOn w:val="Normal"/>
    <w:rsid w:val="00A61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9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1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9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9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1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955"/>
  </w:style>
  <w:style w:type="paragraph" w:styleId="TableofFigures">
    <w:name w:val="table of figures"/>
    <w:basedOn w:val="Normal"/>
    <w:next w:val="Normal"/>
    <w:semiHidden/>
    <w:rsid w:val="00A61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9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1955"/>
    <w:rPr>
      <w:rFonts w:ascii="Wingdings" w:hAnsi="Wingdings"/>
    </w:rPr>
  </w:style>
  <w:style w:type="paragraph" w:customStyle="1" w:styleId="TableHeading">
    <w:name w:val="Table Heading"/>
    <w:basedOn w:val="HeadingBase"/>
    <w:rsid w:val="00A61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955"/>
    <w:rPr>
      <w:color w:val="0033CC"/>
      <w:u w:val="none"/>
    </w:rPr>
  </w:style>
  <w:style w:type="paragraph" w:customStyle="1" w:styleId="BodyTextRight">
    <w:name w:val="Body Text Right"/>
    <w:basedOn w:val="BodyText"/>
    <w:rsid w:val="00A61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9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955"/>
    <w:rPr>
      <w:sz w:val="32"/>
    </w:rPr>
  </w:style>
  <w:style w:type="paragraph" w:customStyle="1" w:styleId="HeadingProcedure">
    <w:name w:val="Heading Procedure"/>
    <w:basedOn w:val="HeadingBase"/>
    <w:next w:val="Normal"/>
    <w:rsid w:val="00A61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955"/>
    <w:pPr>
      <w:spacing w:before="60" w:after="60"/>
    </w:pPr>
  </w:style>
  <w:style w:type="paragraph" w:styleId="ListContinue">
    <w:name w:val="List Continue"/>
    <w:basedOn w:val="List"/>
    <w:rsid w:val="00A61955"/>
    <w:pPr>
      <w:ind w:firstLine="0"/>
    </w:pPr>
  </w:style>
  <w:style w:type="paragraph" w:customStyle="1" w:styleId="ListNote">
    <w:name w:val="List Note"/>
    <w:basedOn w:val="List"/>
    <w:rsid w:val="00A61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955"/>
    <w:rPr>
      <w:rFonts w:ascii="Courier New" w:hAnsi="Courier New"/>
    </w:rPr>
  </w:style>
  <w:style w:type="paragraph" w:customStyle="1" w:styleId="NoteBullet">
    <w:name w:val="Note Bullet"/>
    <w:basedOn w:val="Note"/>
    <w:rsid w:val="00A61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9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1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955"/>
    <w:rPr>
      <w:b/>
      <w:smallCaps/>
    </w:rPr>
  </w:style>
  <w:style w:type="paragraph" w:customStyle="1" w:styleId="TableListNumber">
    <w:name w:val="Table List Number"/>
    <w:basedOn w:val="ListNumber"/>
    <w:rsid w:val="00A61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955"/>
    <w:pPr>
      <w:numPr>
        <w:numId w:val="8"/>
      </w:numPr>
    </w:pPr>
  </w:style>
  <w:style w:type="paragraph" w:customStyle="1" w:styleId="ListAlpha2">
    <w:name w:val="List Alpha 2"/>
    <w:basedOn w:val="List2"/>
    <w:rsid w:val="00A61955"/>
    <w:pPr>
      <w:numPr>
        <w:numId w:val="7"/>
      </w:numPr>
    </w:pPr>
  </w:style>
  <w:style w:type="paragraph" w:styleId="List2">
    <w:name w:val="List 2"/>
    <w:basedOn w:val="BodyText"/>
    <w:rsid w:val="00A61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9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9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1955"/>
    <w:pPr>
      <w:numPr>
        <w:numId w:val="3"/>
      </w:numPr>
    </w:pPr>
  </w:style>
  <w:style w:type="paragraph" w:styleId="ListContinue2">
    <w:name w:val="List Continue 2"/>
    <w:basedOn w:val="List2"/>
    <w:rsid w:val="00A61955"/>
    <w:pPr>
      <w:ind w:firstLine="0"/>
    </w:pPr>
  </w:style>
  <w:style w:type="paragraph" w:styleId="ListContinue3">
    <w:name w:val="List Continue 3"/>
    <w:basedOn w:val="List3"/>
    <w:rsid w:val="00A61955"/>
    <w:pPr>
      <w:ind w:left="1021" w:firstLine="0"/>
    </w:pPr>
  </w:style>
  <w:style w:type="paragraph" w:styleId="ListContinue4">
    <w:name w:val="List Continue 4"/>
    <w:basedOn w:val="List4"/>
    <w:rsid w:val="00A61955"/>
    <w:pPr>
      <w:ind w:firstLine="0"/>
    </w:pPr>
  </w:style>
  <w:style w:type="paragraph" w:styleId="ListContinue5">
    <w:name w:val="List Continue 5"/>
    <w:basedOn w:val="List5"/>
    <w:rsid w:val="00A61955"/>
    <w:pPr>
      <w:ind w:firstLine="0"/>
    </w:pPr>
  </w:style>
  <w:style w:type="paragraph" w:styleId="ListNumber3">
    <w:name w:val="List Number 3"/>
    <w:basedOn w:val="List3"/>
    <w:rsid w:val="00A61955"/>
    <w:pPr>
      <w:numPr>
        <w:numId w:val="4"/>
      </w:numPr>
    </w:pPr>
  </w:style>
  <w:style w:type="paragraph" w:styleId="ListNumber4">
    <w:name w:val="List Number 4"/>
    <w:basedOn w:val="List4"/>
    <w:rsid w:val="00A61955"/>
    <w:pPr>
      <w:numPr>
        <w:numId w:val="5"/>
      </w:numPr>
    </w:pPr>
  </w:style>
  <w:style w:type="paragraph" w:styleId="ListNumber5">
    <w:name w:val="List Number 5"/>
    <w:basedOn w:val="List5"/>
    <w:rsid w:val="00A61955"/>
    <w:pPr>
      <w:numPr>
        <w:numId w:val="6"/>
      </w:numPr>
    </w:pPr>
  </w:style>
  <w:style w:type="paragraph" w:styleId="BlockText">
    <w:name w:val="Block Text"/>
    <w:basedOn w:val="Normal"/>
    <w:rsid w:val="00A61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955"/>
    <w:rPr>
      <w:sz w:val="16"/>
      <w:vertAlign w:val="superscript"/>
    </w:rPr>
  </w:style>
  <w:style w:type="character" w:customStyle="1" w:styleId="Symbols">
    <w:name w:val="Symbols"/>
    <w:basedOn w:val="DefaultParagraphFont"/>
    <w:rsid w:val="00A61955"/>
    <w:rPr>
      <w:rFonts w:ascii="Symbol" w:hAnsi="Symbol"/>
    </w:rPr>
  </w:style>
  <w:style w:type="character" w:customStyle="1" w:styleId="MenuOptions">
    <w:name w:val="Menu Options"/>
    <w:basedOn w:val="DefaultParagraphFont"/>
    <w:rsid w:val="00A61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955"/>
    <w:rPr>
      <w:b/>
    </w:rPr>
  </w:style>
  <w:style w:type="character" w:customStyle="1" w:styleId="Underlined">
    <w:name w:val="Underlined"/>
    <w:basedOn w:val="DefaultParagraphFont"/>
    <w:rsid w:val="00A61955"/>
    <w:rPr>
      <w:u w:val="single"/>
    </w:rPr>
  </w:style>
  <w:style w:type="paragraph" w:customStyle="1" w:styleId="TableBodyTextRight">
    <w:name w:val="Table Body Text Right"/>
    <w:basedOn w:val="TableBodyText"/>
    <w:rsid w:val="00A61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955"/>
    <w:rPr>
      <w:sz w:val="18"/>
    </w:rPr>
  </w:style>
  <w:style w:type="paragraph" w:customStyle="1" w:styleId="BodySmallRight">
    <w:name w:val="Body Small Right"/>
    <w:basedOn w:val="BodyTextRight"/>
    <w:rsid w:val="00A61955"/>
    <w:rPr>
      <w:sz w:val="18"/>
      <w:szCs w:val="18"/>
    </w:rPr>
  </w:style>
  <w:style w:type="paragraph" w:customStyle="1" w:styleId="MarginEdition">
    <w:name w:val="Margin Edition"/>
    <w:basedOn w:val="MarginNote"/>
    <w:rsid w:val="00A61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955"/>
    <w:rPr>
      <w:sz w:val="2"/>
      <w:szCs w:val="2"/>
    </w:rPr>
  </w:style>
  <w:style w:type="character" w:customStyle="1" w:styleId="Small">
    <w:name w:val="Small"/>
    <w:basedOn w:val="DefaultParagraphFont"/>
    <w:rsid w:val="00A61955"/>
    <w:rPr>
      <w:sz w:val="16"/>
    </w:rPr>
  </w:style>
  <w:style w:type="paragraph" w:customStyle="1" w:styleId="WideTable">
    <w:name w:val="Wide Table"/>
    <w:basedOn w:val="Normal"/>
    <w:rsid w:val="00A61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955"/>
  </w:style>
  <w:style w:type="paragraph" w:styleId="Quote">
    <w:name w:val="Quote"/>
    <w:basedOn w:val="Heading1"/>
    <w:link w:val="QuoteChar"/>
    <w:qFormat/>
    <w:rsid w:val="00A61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955"/>
    <w:pPr>
      <w:pageBreakBefore/>
    </w:pPr>
  </w:style>
  <w:style w:type="paragraph" w:customStyle="1" w:styleId="Border">
    <w:name w:val="Border"/>
    <w:basedOn w:val="Normal"/>
    <w:qFormat/>
    <w:rsid w:val="00A61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955"/>
    <w:rPr>
      <w:u w:val="single"/>
    </w:rPr>
  </w:style>
  <w:style w:type="character" w:customStyle="1" w:styleId="BoldandItalics">
    <w:name w:val="Bold and Italics"/>
    <w:qFormat/>
    <w:rsid w:val="00A61955"/>
    <w:rPr>
      <w:b/>
      <w:i/>
      <w:u w:val="none"/>
    </w:rPr>
  </w:style>
  <w:style w:type="paragraph" w:styleId="BalloonText">
    <w:name w:val="Balloon Text"/>
    <w:basedOn w:val="Normal"/>
    <w:link w:val="BalloonTextChar"/>
    <w:rsid w:val="00A61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955"/>
    <w:pPr>
      <w:spacing w:before="0" w:after="0"/>
    </w:pPr>
  </w:style>
  <w:style w:type="paragraph" w:customStyle="1" w:styleId="BodyTextBold">
    <w:name w:val="Body Text Bold"/>
    <w:basedOn w:val="BodyText"/>
    <w:qFormat/>
    <w:rsid w:val="00A61955"/>
    <w:rPr>
      <w:b/>
    </w:rPr>
  </w:style>
  <w:style w:type="character" w:styleId="Hyperlink">
    <w:name w:val="Hyperlink"/>
    <w:basedOn w:val="DefaultParagraphFont"/>
    <w:uiPriority w:val="99"/>
    <w:unhideWhenUsed/>
    <w:rsid w:val="00F70A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4312</Characters>
  <Application>Microsoft Office Word</Application>
  <DocSecurity>0</DocSecurity>
  <Lines>123</Lines>
  <Paragraphs>77</Paragraphs>
  <ScaleCrop>false</ScaleCrop>
  <Company>Author-it Software Corporation Ltd.</Company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AURTTL111 Diagnose complex faults in CNG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2022-06-23T07:07:00Z</dcterms:created>
  <dcterms:modified xsi:type="dcterms:W3CDTF">2022-06-23T07:07:00Z</dcterms:modified>
</cp:coreProperties>
</file>