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A6E" w:rsidP="00903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AURTTL111 Diagnose complex faults in CNG fuel systems</w:t>
      </w:r>
      <w:r>
        <w:fldChar w:fldCharType="end"/>
      </w:r>
    </w:p>
    <w:p w:rsidR="00903A6E" w:rsidP="00903A6E">
      <w:pPr>
        <w:pStyle w:val="Version"/>
        <w:sectPr w:rsidSect="002D4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A76" w:rsidP="002D4A76">
      <w:pPr>
        <w:pStyle w:val="SuperHeading"/>
      </w:pPr>
      <w:r w:rsidRPr="002D4A76">
        <w:t>Assessment Requirements for AURTTL111 Diagnose complex faults in CNG fuel systems</w:t>
      </w:r>
    </w:p>
    <w:p w:rsidR="00000000" w:rsidRPr="002D4A76" w:rsidP="002D4A76">
      <w:pPr>
        <w:pStyle w:val="Heading1"/>
      </w:pPr>
      <w:bookmarkStart w:id="1" w:name="O_1128292"/>
      <w:bookmarkEnd w:id="1"/>
      <w:r w:rsidRPr="002D4A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D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76" w:rsidP="002D4A76">
            <w:pPr>
              <w:pStyle w:val="BodyText"/>
            </w:pPr>
            <w:r w:rsidRPr="002D4A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76">
            <w:pPr>
              <w:pStyle w:val="BodyText"/>
              <w:rPr>
                <w:lang w:val="en-NZ"/>
              </w:rPr>
            </w:pPr>
            <w:r w:rsidRPr="002D4A76">
              <w:rPr>
                <w:rStyle w:val="SpecialBold"/>
              </w:rPr>
              <w:t>Comments</w:t>
            </w:r>
          </w:p>
        </w:tc>
      </w:tr>
      <w:tr w:rsidTr="002D4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76">
            <w:pPr>
              <w:pStyle w:val="BodyText"/>
              <w:rPr>
                <w:lang w:val="en-NZ"/>
              </w:rPr>
            </w:pPr>
            <w:r w:rsidRPr="002D4A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76" w:rsidP="002D4A76">
            <w:pPr>
              <w:pStyle w:val="BodyText"/>
            </w:pPr>
            <w:r w:rsidRPr="002D4A76">
              <w:t>This version first released with AUR Automotive Retail, Service and Repair Training Package Version 6.0</w:t>
            </w:r>
          </w:p>
        </w:tc>
      </w:tr>
    </w:tbl>
    <w:p w:rsidR="00000000" w:rsidRPr="002D4A76" w:rsidP="002D4A76">
      <w:pPr>
        <w:pStyle w:val="BodyText"/>
      </w:pPr>
    </w:p>
    <w:p w:rsidR="00000000" w:rsidRPr="002D4A76" w:rsidP="002D4A76">
      <w:pPr>
        <w:pStyle w:val="AllowPageBreak"/>
      </w:pPr>
    </w:p>
    <w:p w:rsidR="00000000" w:rsidRPr="002D4A76" w:rsidP="002D4A76">
      <w:pPr>
        <w:pStyle w:val="Heading1"/>
      </w:pPr>
      <w:bookmarkStart w:id="2" w:name="O_1128295"/>
      <w:bookmarkEnd w:id="2"/>
      <w:r w:rsidRPr="002D4A76">
        <w:t>Performance Evidence</w:t>
      </w:r>
    </w:p>
    <w:p w:rsidR="00000000" w:rsidRPr="002D4A76" w:rsidP="00903A6E">
      <w:pPr>
        <w:pStyle w:val="BodyText"/>
      </w:pPr>
      <w:r w:rsidRPr="002D4A76">
        <w:t>The candidate must demonstrate the ability to complete the tasks outlined in the elements, performance criteria and foundation skills of this unit, including evidence of the ability to:</w:t>
      </w:r>
    </w:p>
    <w:p w:rsidR="00000000" w:rsidRPr="002D4A76" w:rsidP="002D4A76">
      <w:pPr>
        <w:pStyle w:val="ListBullet"/>
      </w:pPr>
      <w:r w:rsidRPr="002D4A76">
        <w:t>diagnose a complex fault in a</w:t>
      </w:r>
      <w:r w:rsidRPr="002D4A76">
        <w:t>t least three different compressed natural gas (CNG) systems</w:t>
      </w:r>
    </w:p>
    <w:p w:rsidR="00000000" w:rsidRPr="002D4A76" w:rsidP="002D4A76">
      <w:pPr>
        <w:pStyle w:val="ListBullet"/>
      </w:pPr>
      <w:r w:rsidRPr="002D4A76">
        <w:t>the above diagnoses must involve at least two of the following types of complex faults:</w:t>
      </w:r>
    </w:p>
    <w:p w:rsidR="00000000" w:rsidRPr="002D4A76" w:rsidP="002D4A76">
      <w:pPr>
        <w:pStyle w:val="ListBullet2"/>
      </w:pPr>
      <w:r w:rsidRPr="002D4A76">
        <w:t>an intermittent fault</w:t>
      </w:r>
    </w:p>
    <w:p w:rsidR="00000000" w:rsidRPr="002D4A76" w:rsidP="002D4A76">
      <w:pPr>
        <w:pStyle w:val="ListBullet2"/>
      </w:pPr>
      <w:r w:rsidRPr="002D4A76">
        <w:t>a fault that affects more than one system</w:t>
      </w:r>
    </w:p>
    <w:p w:rsidR="00000000" w:rsidRPr="002D4A76" w:rsidP="002D4A76">
      <w:pPr>
        <w:pStyle w:val="ListBullet2"/>
      </w:pPr>
      <w:r w:rsidRPr="002D4A76">
        <w:t xml:space="preserve">a fault introduced as a result of a system repair </w:t>
      </w:r>
    </w:p>
    <w:p w:rsidR="00000000" w:rsidRPr="002D4A76" w:rsidP="002D4A76">
      <w:pPr>
        <w:pStyle w:val="ListBullet2"/>
      </w:pPr>
      <w:r w:rsidRPr="002D4A76">
        <w:t>an indirect fault caused by the influence of external systems.</w:t>
      </w:r>
    </w:p>
    <w:p w:rsidR="00000000" w:rsidRPr="002D4A76" w:rsidP="002D4A76">
      <w:pPr>
        <w:pStyle w:val="AllowPageBreak"/>
      </w:pPr>
    </w:p>
    <w:p w:rsidR="00000000" w:rsidRPr="002D4A76" w:rsidP="002D4A76">
      <w:pPr>
        <w:pStyle w:val="Heading1"/>
      </w:pPr>
      <w:bookmarkStart w:id="3" w:name="O_1128294"/>
      <w:bookmarkEnd w:id="3"/>
      <w:r w:rsidRPr="002D4A76">
        <w:t>Knowledge Evidence</w:t>
      </w:r>
    </w:p>
    <w:p w:rsidR="00000000" w:rsidRPr="002D4A76" w:rsidP="00903A6E">
      <w:pPr>
        <w:pStyle w:val="BodyText"/>
      </w:pPr>
      <w:r w:rsidRPr="002D4A76">
        <w:t>The candidate must be able to demonstrate knowledge to complete the tasks outlined in the elements, perf</w:t>
      </w:r>
      <w:r w:rsidRPr="002D4A76">
        <w:t>ormance criteria and foundation skills of this unit, including knowledge of:</w:t>
      </w:r>
    </w:p>
    <w:p w:rsidR="00000000" w:rsidRPr="002D4A76" w:rsidP="002D4A76">
      <w:pPr>
        <w:pStyle w:val="ListBullet"/>
      </w:pPr>
      <w:r w:rsidRPr="002D4A76">
        <w:t>methods to locate and interpret information required to diagnose complex faults in CNG fuel systems, including:</w:t>
      </w:r>
    </w:p>
    <w:p w:rsidR="00000000" w:rsidRPr="002D4A76" w:rsidP="002D4A76">
      <w:pPr>
        <w:pStyle w:val="ListBullet2"/>
      </w:pPr>
      <w:r w:rsidRPr="002D4A76">
        <w:t>manufacturer specifications and procedures or equivalent document</w:t>
      </w:r>
      <w:r w:rsidRPr="002D4A76">
        <w:t>ation</w:t>
      </w:r>
    </w:p>
    <w:p w:rsidR="00000000" w:rsidRPr="002D4A76" w:rsidP="002D4A76">
      <w:pPr>
        <w:pStyle w:val="ListBullet"/>
      </w:pPr>
      <w:r w:rsidRPr="002D4A76">
        <w:t>workplace procedures required to diagnose complex faults in CNG fuel systems, including: </w:t>
      </w:r>
    </w:p>
    <w:p w:rsidR="00000000" w:rsidRPr="002D4A76" w:rsidP="002D4A76">
      <w:pPr>
        <w:pStyle w:val="ListBullet2"/>
      </w:pPr>
      <w:r w:rsidRPr="002D4A76">
        <w:t>establishing serviceability of tools and equipment</w:t>
      </w:r>
    </w:p>
    <w:p w:rsidR="00000000" w:rsidRPr="002D4A76" w:rsidP="002D4A76">
      <w:pPr>
        <w:pStyle w:val="ListBullet2"/>
      </w:pPr>
      <w:r w:rsidRPr="002D4A76">
        <w:t>documentation procedures</w:t>
      </w:r>
    </w:p>
    <w:p w:rsidR="00000000" w:rsidRPr="002D4A76" w:rsidP="002D4A76">
      <w:pPr>
        <w:pStyle w:val="ListBullet2"/>
      </w:pPr>
      <w:r w:rsidRPr="002D4A76">
        <w:t>housekeeping procedures, including:</w:t>
      </w:r>
    </w:p>
    <w:p w:rsidR="00000000" w:rsidRPr="002D4A76" w:rsidP="002D4A76">
      <w:pPr>
        <w:pStyle w:val="ListBullet3"/>
      </w:pPr>
      <w:r w:rsidRPr="002D4A76">
        <w:t>examination of tools and equipment</w:t>
      </w:r>
    </w:p>
    <w:p w:rsidR="00000000" w:rsidRPr="002D4A76" w:rsidP="002D4A76">
      <w:pPr>
        <w:pStyle w:val="ListBullet3"/>
      </w:pPr>
      <w:r w:rsidRPr="002D4A76">
        <w:t>storage of equipment</w:t>
      </w:r>
    </w:p>
    <w:p w:rsidR="00000000" w:rsidRPr="002D4A76" w:rsidP="002D4A76">
      <w:pPr>
        <w:pStyle w:val="ListBullet3"/>
      </w:pPr>
      <w:r w:rsidRPr="002D4A76">
        <w:t>identification, tagging and isolation of faulty equipment</w:t>
      </w:r>
    </w:p>
    <w:p w:rsidR="00000000" w:rsidRPr="002D4A76" w:rsidP="002D4A76">
      <w:pPr>
        <w:pStyle w:val="ListBullet3"/>
      </w:pPr>
      <w:r w:rsidRPr="002D4A76">
        <w:t>disposal of excess materials</w:t>
      </w:r>
    </w:p>
    <w:p w:rsidR="00000000" w:rsidRPr="002D4A76" w:rsidP="002D4A76">
      <w:pPr>
        <w:pStyle w:val="ListBullet3"/>
      </w:pPr>
      <w:r w:rsidRPr="002D4A76">
        <w:t>recycling procedures</w:t>
      </w:r>
    </w:p>
    <w:p w:rsidR="00000000" w:rsidRPr="002D4A76" w:rsidP="002D4A76">
      <w:pPr>
        <w:pStyle w:val="ListBullet"/>
      </w:pPr>
      <w:r w:rsidRPr="002D4A76">
        <w:t xml:space="preserve">work health and safety (WHS) requirements relating to diagnosing complex faults in CNG fuel systems, including procedures for </w:t>
      </w:r>
      <w:r w:rsidRPr="002D4A76">
        <w:t>working with lighter-than-air flammable gas</w:t>
      </w:r>
    </w:p>
    <w:p w:rsidR="00000000" w:rsidRPr="002D4A76" w:rsidP="002D4A76">
      <w:pPr>
        <w:pStyle w:val="ListBullet"/>
      </w:pPr>
      <w:r w:rsidRPr="002D4A76">
        <w:t>environmental requirements, including procedures for preventing loss of gas to atmosphere</w:t>
      </w:r>
    </w:p>
    <w:p w:rsidR="00000000" w:rsidRPr="002D4A76" w:rsidP="002D4A76">
      <w:pPr>
        <w:pStyle w:val="ListBullet"/>
      </w:pPr>
      <w:r w:rsidRPr="002D4A76">
        <w:t>types of complex faults relating to CNG fuel systems, including:</w:t>
      </w:r>
    </w:p>
    <w:p w:rsidR="00000000" w:rsidRPr="002D4A76" w:rsidP="002D4A76">
      <w:pPr>
        <w:pStyle w:val="ListBullet2"/>
      </w:pPr>
      <w:r w:rsidRPr="002D4A76">
        <w:t>intermittent</w:t>
      </w:r>
    </w:p>
    <w:p w:rsidR="00000000" w:rsidRPr="002D4A76" w:rsidP="002D4A76">
      <w:pPr>
        <w:pStyle w:val="ListBullet2"/>
      </w:pPr>
      <w:r w:rsidRPr="002D4A76">
        <w:t>multi-system</w:t>
      </w:r>
    </w:p>
    <w:p w:rsidR="00000000" w:rsidRPr="002D4A76" w:rsidP="002D4A76">
      <w:pPr>
        <w:pStyle w:val="ListBullet2"/>
      </w:pPr>
      <w:r w:rsidRPr="002D4A76">
        <w:t>introduced as a result of system repair</w:t>
      </w:r>
    </w:p>
    <w:p w:rsidR="00000000" w:rsidRPr="002D4A76" w:rsidP="002D4A76">
      <w:pPr>
        <w:pStyle w:val="ListBullet2"/>
      </w:pPr>
      <w:r w:rsidRPr="002D4A76">
        <w:t>indirect, caused by the influence of external systems</w:t>
      </w:r>
    </w:p>
    <w:p w:rsidR="00000000" w:rsidRPr="002D4A76" w:rsidP="002D4A76">
      <w:pPr>
        <w:pStyle w:val="ListBullet"/>
      </w:pPr>
      <w:r w:rsidRPr="002D4A76">
        <w:t>types and key features of CNG fuel systems, including:</w:t>
      </w:r>
    </w:p>
    <w:p w:rsidR="00000000" w:rsidRPr="002D4A76" w:rsidP="002D4A76">
      <w:pPr>
        <w:pStyle w:val="ListBullet2"/>
      </w:pPr>
      <w:r w:rsidRPr="002D4A76">
        <w:t>fuel lock-offs</w:t>
      </w:r>
    </w:p>
    <w:p w:rsidR="00000000" w:rsidRPr="002D4A76" w:rsidP="002D4A76">
      <w:pPr>
        <w:pStyle w:val="ListBullet2"/>
      </w:pPr>
      <w:r w:rsidRPr="002D4A76">
        <w:t>injectors</w:t>
      </w:r>
    </w:p>
    <w:p w:rsidR="00000000" w:rsidRPr="002D4A76" w:rsidP="002D4A76">
      <w:pPr>
        <w:pStyle w:val="ListBullet2"/>
      </w:pPr>
      <w:r w:rsidRPr="002D4A76">
        <w:t>mixers</w:t>
      </w:r>
    </w:p>
    <w:p w:rsidR="00000000" w:rsidRPr="002D4A76" w:rsidP="002D4A76">
      <w:pPr>
        <w:pStyle w:val="ListBullet2"/>
      </w:pPr>
      <w:r w:rsidRPr="002D4A76">
        <w:t>metering units</w:t>
      </w:r>
    </w:p>
    <w:p w:rsidR="00000000" w:rsidRPr="002D4A76" w:rsidP="002D4A76">
      <w:pPr>
        <w:pStyle w:val="ListBullet"/>
      </w:pPr>
      <w:r w:rsidRPr="002D4A76">
        <w:t>requirements of AS/NZS 2739 Natural gas (NG) fuel systems</w:t>
      </w:r>
      <w:r w:rsidRPr="002D4A76">
        <w:t xml:space="preserve"> for vehicle engines</w:t>
      </w:r>
    </w:p>
    <w:p w:rsidR="00000000" w:rsidRPr="002D4A76" w:rsidP="002D4A76">
      <w:pPr>
        <w:pStyle w:val="ListBullet"/>
      </w:pPr>
      <w:r w:rsidRPr="002D4A76">
        <w:t>testing procedures for CNG fuel systems, including:</w:t>
      </w:r>
    </w:p>
    <w:p w:rsidR="00000000" w:rsidRPr="002D4A76" w:rsidP="002D4A76">
      <w:pPr>
        <w:pStyle w:val="ListBullet2"/>
      </w:pPr>
      <w:r w:rsidRPr="002D4A76">
        <w:t>component failure analysis</w:t>
      </w:r>
    </w:p>
    <w:p w:rsidR="00000000" w:rsidRPr="002D4A76" w:rsidP="002D4A76">
      <w:pPr>
        <w:pStyle w:val="ListBullet2"/>
      </w:pPr>
      <w:r w:rsidRPr="002D4A76">
        <w:t>safety component operation</w:t>
      </w:r>
    </w:p>
    <w:p w:rsidR="00000000" w:rsidRPr="002D4A76" w:rsidP="002D4A76">
      <w:pPr>
        <w:pStyle w:val="ListBullet2"/>
      </w:pPr>
      <w:r w:rsidRPr="002D4A76">
        <w:t>electrical control systems</w:t>
      </w:r>
    </w:p>
    <w:p w:rsidR="00000000" w:rsidRPr="002D4A76" w:rsidP="002D4A76">
      <w:pPr>
        <w:pStyle w:val="ListBullet2"/>
      </w:pPr>
      <w:r w:rsidRPr="002D4A76">
        <w:t>exhaust emissions</w:t>
      </w:r>
    </w:p>
    <w:p w:rsidR="00000000" w:rsidRPr="002D4A76" w:rsidP="002D4A76">
      <w:pPr>
        <w:pStyle w:val="ListBullet2"/>
      </w:pPr>
      <w:r w:rsidRPr="002D4A76">
        <w:t>on-road fuel efficiency</w:t>
      </w:r>
    </w:p>
    <w:p w:rsidR="00000000" w:rsidRPr="002D4A76" w:rsidP="002D4A76">
      <w:pPr>
        <w:pStyle w:val="ListBullet2"/>
      </w:pPr>
      <w:r w:rsidRPr="002D4A76">
        <w:t>data interpretation</w:t>
      </w:r>
    </w:p>
    <w:p w:rsidR="00000000" w:rsidRPr="002D4A76" w:rsidP="002D4A76">
      <w:pPr>
        <w:pStyle w:val="ListBullet"/>
      </w:pPr>
      <w:r w:rsidRPr="002D4A76">
        <w:t>types and key features of diagnostic testing equipment required to diagnose complex faults in CNG fuel systems</w:t>
      </w:r>
    </w:p>
    <w:p w:rsidR="00000000" w:rsidRPr="002D4A76" w:rsidP="002D4A76">
      <w:pPr>
        <w:pStyle w:val="ListBullet"/>
      </w:pPr>
      <w:r w:rsidRPr="002D4A76">
        <w:t>procedures for accessing and interpreting scan tool system data, including:</w:t>
      </w:r>
    </w:p>
    <w:p w:rsidR="00000000" w:rsidRPr="002D4A76" w:rsidP="002D4A76">
      <w:pPr>
        <w:pStyle w:val="ListBullet2"/>
      </w:pPr>
      <w:r w:rsidRPr="002D4A76">
        <w:t>diagnostic trouble codes (DTCs), including:</w:t>
      </w:r>
    </w:p>
    <w:p w:rsidR="00000000" w:rsidRPr="002D4A76" w:rsidP="002D4A76">
      <w:pPr>
        <w:pStyle w:val="ListBullet3"/>
      </w:pPr>
      <w:r w:rsidRPr="002D4A76">
        <w:t>conditions that set the</w:t>
      </w:r>
      <w:r w:rsidRPr="002D4A76">
        <w:t xml:space="preserve"> DTCs</w:t>
      </w:r>
    </w:p>
    <w:p w:rsidR="00000000" w:rsidRPr="002D4A76" w:rsidP="002D4A76">
      <w:pPr>
        <w:pStyle w:val="ListBullet3"/>
      </w:pPr>
      <w:r w:rsidRPr="002D4A76">
        <w:t>conditions for running DTCs</w:t>
      </w:r>
    </w:p>
    <w:p w:rsidR="00000000" w:rsidRPr="002D4A76" w:rsidP="002D4A76">
      <w:pPr>
        <w:pStyle w:val="ListBullet2"/>
      </w:pPr>
      <w:r w:rsidRPr="002D4A76">
        <w:t>live data</w:t>
      </w:r>
    </w:p>
    <w:p w:rsidR="00000000" w:rsidRPr="002D4A76" w:rsidP="002D4A76">
      <w:pPr>
        <w:pStyle w:val="ListBullet2"/>
      </w:pPr>
      <w:r w:rsidRPr="002D4A76">
        <w:t>freeze frame data</w:t>
      </w:r>
    </w:p>
    <w:p w:rsidR="00000000" w:rsidRPr="002D4A76" w:rsidP="002D4A76">
      <w:pPr>
        <w:pStyle w:val="ListBullet2"/>
      </w:pPr>
      <w:r w:rsidRPr="002D4A76">
        <w:t>waveforms</w:t>
      </w:r>
    </w:p>
    <w:p w:rsidR="00000000" w:rsidRPr="002D4A76" w:rsidP="002D4A76">
      <w:pPr>
        <w:pStyle w:val="ListBullet2"/>
      </w:pPr>
      <w:r w:rsidRPr="002D4A76">
        <w:t xml:space="preserve">vehicle continuous and non-continuous monitored systems </w:t>
      </w:r>
    </w:p>
    <w:p w:rsidR="00000000" w:rsidRPr="002D4A76" w:rsidP="002D4A76">
      <w:pPr>
        <w:pStyle w:val="ListBullet"/>
      </w:pPr>
      <w:r w:rsidRPr="002D4A76">
        <w:t>methods and processes for documenting and reporting diagnostic findings and recommendations.</w:t>
      </w:r>
    </w:p>
    <w:p w:rsidR="00000000" w:rsidRPr="002D4A76" w:rsidP="002D4A76">
      <w:pPr>
        <w:pStyle w:val="AllowPageBreak"/>
      </w:pPr>
    </w:p>
    <w:p w:rsidR="00000000" w:rsidRPr="002D4A76" w:rsidP="002D4A76">
      <w:pPr>
        <w:pStyle w:val="Heading1"/>
      </w:pPr>
      <w:bookmarkStart w:id="4" w:name="O_1128293"/>
      <w:bookmarkEnd w:id="4"/>
      <w:r w:rsidRPr="002D4A76">
        <w:t>Assessment Conditions</w:t>
      </w:r>
    </w:p>
    <w:p w:rsidR="00000000" w:rsidRPr="002D4A76" w:rsidP="00903A6E">
      <w:pPr>
        <w:pStyle w:val="BodyText"/>
      </w:pPr>
      <w:r w:rsidRPr="002D4A76">
        <w:t>Competency is to be assessed in the workplace or a simulated environment that accurately reflects performance in a real workplace setting.</w:t>
      </w:r>
    </w:p>
    <w:p w:rsidR="00000000" w:rsidRPr="002D4A76" w:rsidP="00903A6E">
      <w:pPr>
        <w:pStyle w:val="BodyText"/>
      </w:pPr>
      <w:r w:rsidRPr="002D4A76">
        <w:t>Assessment must include direct observation of tasks.</w:t>
      </w:r>
    </w:p>
    <w:p w:rsidR="00000000" w:rsidRPr="002D4A76" w:rsidP="00903A6E">
      <w:pPr>
        <w:pStyle w:val="BodyText"/>
      </w:pPr>
      <w:r w:rsidRPr="002D4A76">
        <w:t>Where assessment of competency includes th</w:t>
      </w:r>
      <w:r w:rsidRPr="002D4A76">
        <w:t>ird-party evidence, individuals must provide evidence that links them to the CNG fuel systems that they have worked on, e.g. repair orders.</w:t>
      </w:r>
    </w:p>
    <w:p w:rsidR="00000000" w:rsidRPr="002D4A76" w:rsidP="00903A6E">
      <w:pPr>
        <w:pStyle w:val="BodyText"/>
      </w:pPr>
      <w:r w:rsidRPr="002D4A76">
        <w:t>Assessors must verify performance evidence through questioning on skills and knowledge to ensure correct interpretat</w:t>
      </w:r>
      <w:r w:rsidRPr="002D4A76">
        <w:t>ion and application.</w:t>
      </w:r>
    </w:p>
    <w:p w:rsidR="00000000" w:rsidRPr="002D4A76" w:rsidP="00903A6E">
      <w:pPr>
        <w:pStyle w:val="BodyText"/>
      </w:pPr>
      <w:r w:rsidRPr="002D4A76">
        <w:t>The following resources must be made available:</w:t>
      </w:r>
    </w:p>
    <w:p w:rsidR="00000000" w:rsidRPr="002D4A76" w:rsidP="002D4A76">
      <w:pPr>
        <w:pStyle w:val="ListBullet"/>
      </w:pPr>
      <w:r w:rsidRPr="002D4A76">
        <w:t>automotive repair workplace or simulated workplace</w:t>
      </w:r>
    </w:p>
    <w:p w:rsidR="00000000" w:rsidRPr="002D4A76" w:rsidP="002D4A76">
      <w:pPr>
        <w:pStyle w:val="ListBullet"/>
      </w:pPr>
      <w:r w:rsidRPr="002D4A76">
        <w:t>workplace instructions</w:t>
      </w:r>
    </w:p>
    <w:p w:rsidR="00000000" w:rsidRPr="002D4A76" w:rsidP="002D4A76">
      <w:pPr>
        <w:pStyle w:val="ListBullet"/>
      </w:pPr>
      <w:r w:rsidRPr="002D4A76">
        <w:t>AS/NZS 2739 Natural gas (NG) fuel systems for vehicle engines</w:t>
      </w:r>
    </w:p>
    <w:p w:rsidR="00000000" w:rsidRPr="002D4A76" w:rsidP="002D4A76">
      <w:pPr>
        <w:pStyle w:val="ListBullet"/>
      </w:pPr>
      <w:r w:rsidRPr="002D4A76">
        <w:t>manufacturer CNG fuel system specifications</w:t>
      </w:r>
    </w:p>
    <w:p w:rsidR="00000000" w:rsidRPr="002D4A76" w:rsidP="002D4A76">
      <w:pPr>
        <w:pStyle w:val="ListBullet"/>
      </w:pPr>
      <w:r w:rsidRPr="002D4A76">
        <w:t xml:space="preserve">three different CNG fuel systems with complex faults </w:t>
      </w:r>
    </w:p>
    <w:p w:rsidR="00000000" w:rsidRPr="002D4A76" w:rsidP="002D4A76">
      <w:pPr>
        <w:pStyle w:val="ListBullet"/>
      </w:pPr>
      <w:r w:rsidRPr="002D4A76">
        <w:t xml:space="preserve">CNG fuel system diagnostic equipment, including scan tool </w:t>
      </w:r>
    </w:p>
    <w:p w:rsidR="00000000" w:rsidRPr="002D4A76" w:rsidP="002D4A76">
      <w:pPr>
        <w:pStyle w:val="ListBullet"/>
      </w:pPr>
      <w:r w:rsidRPr="002D4A76">
        <w:t>tools, equipment and materials appropriate for diagnosing complex faults in CNG fuel systems.</w:t>
      </w:r>
    </w:p>
    <w:p w:rsidR="00000000" w:rsidRPr="002D4A76" w:rsidP="002D4A76">
      <w:pPr>
        <w:pStyle w:val="List"/>
      </w:pPr>
    </w:p>
    <w:p w:rsidR="00000000" w:rsidRPr="002D4A76" w:rsidP="00903A6E">
      <w:pPr>
        <w:pStyle w:val="BodyText"/>
      </w:pPr>
      <w:r w:rsidRPr="002D4A76">
        <w:t>Assessors of this unit must satisfy the requirem</w:t>
      </w:r>
      <w:r w:rsidRPr="002D4A76">
        <w:t>ents for assessors in applicable vocational education and training legislation, frameworks and/or standards.</w:t>
      </w:r>
    </w:p>
    <w:p w:rsidR="00000000" w:rsidRPr="002D4A76" w:rsidP="002D4A76">
      <w:pPr>
        <w:pStyle w:val="Heading1"/>
      </w:pPr>
      <w:bookmarkStart w:id="5" w:name="O_1128291"/>
      <w:bookmarkEnd w:id="5"/>
      <w:r w:rsidRPr="002D4A76">
        <w:t>Links</w:t>
      </w:r>
    </w:p>
    <w:p w:rsidR="00000000" w:rsidRPr="002D4A76" w:rsidP="00903A6E">
      <w:pPr>
        <w:pStyle w:val="BodyText"/>
      </w:pPr>
      <w:r w:rsidRPr="002D4A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28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4A76" w:rsidP="002D4A76"/>
    <w:sectPr w:rsidSect="002D4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76" w:rsidRPr="00903A6E" w:rsidP="00903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6E" w:rsidP="002D4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A6E" w:rsidP="002D4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3A6E" w:rsidP="002D4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A76" w:rsidRPr="00903A6E" w:rsidP="00903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6E" w:rsidRPr="002D2AF8" w:rsidP="002D4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03A6E" w:rsidP="002D4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C6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6C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88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A76"/>
  </w:style>
  <w:style w:type="character" w:customStyle="1" w:styleId="Heading1Char">
    <w:name w:val="Heading 1 Char"/>
    <w:basedOn w:val="DefaultParagraphFont"/>
    <w:link w:val="Heading1"/>
    <w:rsid w:val="002D4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A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4A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4A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A76"/>
    <w:rPr>
      <w:b/>
      <w:spacing w:val="0"/>
    </w:rPr>
  </w:style>
  <w:style w:type="paragraph" w:styleId="ListBullet2">
    <w:name w:val="List Bullet 2"/>
    <w:basedOn w:val="List2"/>
    <w:rsid w:val="002D4A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4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4A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4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A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4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4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A76"/>
    <w:rPr>
      <w:i/>
    </w:rPr>
  </w:style>
  <w:style w:type="paragraph" w:styleId="Caption">
    <w:name w:val="caption"/>
    <w:basedOn w:val="BodyText"/>
    <w:next w:val="Normal"/>
    <w:qFormat/>
    <w:rsid w:val="002D4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A76"/>
  </w:style>
  <w:style w:type="paragraph" w:styleId="TableofFigures">
    <w:name w:val="table of figures"/>
    <w:basedOn w:val="Normal"/>
    <w:next w:val="Normal"/>
    <w:semiHidden/>
    <w:rsid w:val="002D4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A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4A76"/>
    <w:rPr>
      <w:rFonts w:ascii="Wingdings" w:hAnsi="Wingdings"/>
    </w:rPr>
  </w:style>
  <w:style w:type="paragraph" w:customStyle="1" w:styleId="TableHeading">
    <w:name w:val="Table Heading"/>
    <w:basedOn w:val="HeadingBase"/>
    <w:rsid w:val="002D4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A76"/>
    <w:rPr>
      <w:color w:val="0033CC"/>
      <w:u w:val="none"/>
    </w:rPr>
  </w:style>
  <w:style w:type="paragraph" w:customStyle="1" w:styleId="BodyTextRight">
    <w:name w:val="Body Text Right"/>
    <w:basedOn w:val="BodyText"/>
    <w:rsid w:val="002D4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A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A76"/>
    <w:rPr>
      <w:sz w:val="32"/>
    </w:rPr>
  </w:style>
  <w:style w:type="paragraph" w:customStyle="1" w:styleId="HeadingProcedure">
    <w:name w:val="Heading Procedure"/>
    <w:basedOn w:val="HeadingBase"/>
    <w:next w:val="Normal"/>
    <w:rsid w:val="002D4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A76"/>
    <w:pPr>
      <w:spacing w:before="60" w:after="60"/>
    </w:pPr>
  </w:style>
  <w:style w:type="paragraph" w:styleId="ListContinue">
    <w:name w:val="List Continue"/>
    <w:basedOn w:val="List"/>
    <w:rsid w:val="002D4A76"/>
    <w:pPr>
      <w:ind w:firstLine="0"/>
    </w:pPr>
  </w:style>
  <w:style w:type="paragraph" w:customStyle="1" w:styleId="ListNote">
    <w:name w:val="List Note"/>
    <w:basedOn w:val="List"/>
    <w:rsid w:val="002D4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A76"/>
    <w:rPr>
      <w:rFonts w:ascii="Courier New" w:hAnsi="Courier New"/>
    </w:rPr>
  </w:style>
  <w:style w:type="paragraph" w:customStyle="1" w:styleId="NoteBullet">
    <w:name w:val="Note Bullet"/>
    <w:basedOn w:val="Note"/>
    <w:rsid w:val="002D4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A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4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A76"/>
    <w:rPr>
      <w:b/>
      <w:smallCaps/>
    </w:rPr>
  </w:style>
  <w:style w:type="paragraph" w:customStyle="1" w:styleId="TableListNumber">
    <w:name w:val="Table List Number"/>
    <w:basedOn w:val="ListNumber"/>
    <w:rsid w:val="002D4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A76"/>
    <w:pPr>
      <w:numPr>
        <w:numId w:val="10"/>
      </w:numPr>
    </w:pPr>
  </w:style>
  <w:style w:type="paragraph" w:customStyle="1" w:styleId="ListAlpha2">
    <w:name w:val="List Alpha 2"/>
    <w:basedOn w:val="List2"/>
    <w:rsid w:val="002D4A76"/>
    <w:pPr>
      <w:numPr>
        <w:numId w:val="9"/>
      </w:numPr>
    </w:pPr>
  </w:style>
  <w:style w:type="paragraph" w:styleId="List2">
    <w:name w:val="List 2"/>
    <w:basedOn w:val="BodyText"/>
    <w:rsid w:val="002D4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A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4A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4A76"/>
    <w:pPr>
      <w:numPr>
        <w:numId w:val="5"/>
      </w:numPr>
    </w:pPr>
  </w:style>
  <w:style w:type="paragraph" w:styleId="ListContinue2">
    <w:name w:val="List Continue 2"/>
    <w:basedOn w:val="List2"/>
    <w:rsid w:val="002D4A76"/>
    <w:pPr>
      <w:ind w:firstLine="0"/>
    </w:pPr>
  </w:style>
  <w:style w:type="paragraph" w:styleId="ListContinue3">
    <w:name w:val="List Continue 3"/>
    <w:basedOn w:val="List3"/>
    <w:rsid w:val="002D4A76"/>
    <w:pPr>
      <w:ind w:left="1021" w:firstLine="0"/>
    </w:pPr>
  </w:style>
  <w:style w:type="paragraph" w:styleId="ListContinue4">
    <w:name w:val="List Continue 4"/>
    <w:basedOn w:val="List4"/>
    <w:rsid w:val="002D4A76"/>
    <w:pPr>
      <w:ind w:firstLine="0"/>
    </w:pPr>
  </w:style>
  <w:style w:type="paragraph" w:styleId="ListContinue5">
    <w:name w:val="List Continue 5"/>
    <w:basedOn w:val="List5"/>
    <w:rsid w:val="002D4A76"/>
    <w:pPr>
      <w:ind w:firstLine="0"/>
    </w:pPr>
  </w:style>
  <w:style w:type="paragraph" w:styleId="ListNumber3">
    <w:name w:val="List Number 3"/>
    <w:basedOn w:val="List3"/>
    <w:rsid w:val="002D4A76"/>
    <w:pPr>
      <w:numPr>
        <w:numId w:val="6"/>
      </w:numPr>
    </w:pPr>
  </w:style>
  <w:style w:type="paragraph" w:styleId="ListNumber4">
    <w:name w:val="List Number 4"/>
    <w:basedOn w:val="List4"/>
    <w:rsid w:val="002D4A76"/>
    <w:pPr>
      <w:numPr>
        <w:numId w:val="7"/>
      </w:numPr>
    </w:pPr>
  </w:style>
  <w:style w:type="paragraph" w:styleId="ListNumber5">
    <w:name w:val="List Number 5"/>
    <w:basedOn w:val="List5"/>
    <w:rsid w:val="002D4A76"/>
    <w:pPr>
      <w:numPr>
        <w:numId w:val="8"/>
      </w:numPr>
    </w:pPr>
  </w:style>
  <w:style w:type="paragraph" w:styleId="BlockText">
    <w:name w:val="Block Text"/>
    <w:basedOn w:val="Normal"/>
    <w:rsid w:val="002D4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A76"/>
    <w:rPr>
      <w:sz w:val="16"/>
      <w:vertAlign w:val="superscript"/>
    </w:rPr>
  </w:style>
  <w:style w:type="character" w:customStyle="1" w:styleId="Symbols">
    <w:name w:val="Symbols"/>
    <w:basedOn w:val="DefaultParagraphFont"/>
    <w:rsid w:val="002D4A76"/>
    <w:rPr>
      <w:rFonts w:ascii="Symbol" w:hAnsi="Symbol"/>
    </w:rPr>
  </w:style>
  <w:style w:type="character" w:customStyle="1" w:styleId="MenuOptions">
    <w:name w:val="Menu Options"/>
    <w:basedOn w:val="DefaultParagraphFont"/>
    <w:rsid w:val="002D4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A76"/>
    <w:rPr>
      <w:b/>
    </w:rPr>
  </w:style>
  <w:style w:type="character" w:customStyle="1" w:styleId="Underlined">
    <w:name w:val="Underlined"/>
    <w:basedOn w:val="DefaultParagraphFont"/>
    <w:rsid w:val="002D4A76"/>
    <w:rPr>
      <w:u w:val="single"/>
    </w:rPr>
  </w:style>
  <w:style w:type="paragraph" w:customStyle="1" w:styleId="TableBodyTextRight">
    <w:name w:val="Table Body Text Right"/>
    <w:basedOn w:val="TableBodyText"/>
    <w:rsid w:val="002D4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A76"/>
    <w:rPr>
      <w:sz w:val="18"/>
    </w:rPr>
  </w:style>
  <w:style w:type="paragraph" w:customStyle="1" w:styleId="BodySmallRight">
    <w:name w:val="Body Small Right"/>
    <w:basedOn w:val="BodyTextRight"/>
    <w:rsid w:val="002D4A76"/>
    <w:rPr>
      <w:sz w:val="18"/>
      <w:szCs w:val="18"/>
    </w:rPr>
  </w:style>
  <w:style w:type="paragraph" w:customStyle="1" w:styleId="MarginEdition">
    <w:name w:val="Margin Edition"/>
    <w:basedOn w:val="MarginNote"/>
    <w:rsid w:val="002D4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A76"/>
    <w:rPr>
      <w:sz w:val="2"/>
      <w:szCs w:val="2"/>
    </w:rPr>
  </w:style>
  <w:style w:type="character" w:customStyle="1" w:styleId="Small">
    <w:name w:val="Small"/>
    <w:basedOn w:val="DefaultParagraphFont"/>
    <w:rsid w:val="002D4A76"/>
    <w:rPr>
      <w:sz w:val="16"/>
    </w:rPr>
  </w:style>
  <w:style w:type="paragraph" w:customStyle="1" w:styleId="WideTable">
    <w:name w:val="Wide Table"/>
    <w:basedOn w:val="Normal"/>
    <w:rsid w:val="002D4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A76"/>
  </w:style>
  <w:style w:type="paragraph" w:styleId="Quote">
    <w:name w:val="Quote"/>
    <w:basedOn w:val="Heading1"/>
    <w:link w:val="QuoteChar"/>
    <w:qFormat/>
    <w:rsid w:val="002D4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A76"/>
    <w:pPr>
      <w:pageBreakBefore/>
    </w:pPr>
  </w:style>
  <w:style w:type="paragraph" w:customStyle="1" w:styleId="Border">
    <w:name w:val="Border"/>
    <w:basedOn w:val="Normal"/>
    <w:qFormat/>
    <w:rsid w:val="002D4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A76"/>
    <w:rPr>
      <w:u w:val="single"/>
    </w:rPr>
  </w:style>
  <w:style w:type="character" w:customStyle="1" w:styleId="BoldandItalics">
    <w:name w:val="Bold and Italics"/>
    <w:qFormat/>
    <w:rsid w:val="002D4A76"/>
    <w:rPr>
      <w:b/>
      <w:i/>
      <w:u w:val="none"/>
    </w:rPr>
  </w:style>
  <w:style w:type="paragraph" w:styleId="BalloonText">
    <w:name w:val="Balloon Text"/>
    <w:basedOn w:val="Normal"/>
    <w:link w:val="BalloonTextChar"/>
    <w:rsid w:val="002D4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A76"/>
    <w:pPr>
      <w:spacing w:before="0" w:after="0"/>
    </w:pPr>
  </w:style>
  <w:style w:type="paragraph" w:customStyle="1" w:styleId="BodyTextBold">
    <w:name w:val="Body Text Bold"/>
    <w:basedOn w:val="BodyText"/>
    <w:qFormat/>
    <w:rsid w:val="002D4A76"/>
    <w:rPr>
      <w:b/>
    </w:rPr>
  </w:style>
  <w:style w:type="character" w:styleId="Hyperlink">
    <w:name w:val="Hyperlink"/>
    <w:basedOn w:val="DefaultParagraphFont"/>
    <w:uiPriority w:val="99"/>
    <w:unhideWhenUsed/>
    <w:rsid w:val="00903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3801</Characters>
  <Application>Microsoft Office Word</Application>
  <DocSecurity>0</DocSecurity>
  <Lines>105</Lines>
  <Paragraphs>87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AURTTL111 Diagnose complex faults in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