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D688E" w:rsidP="00AD688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AURTTF105 Diagnose and repair engine forced-induction systems</w:t>
      </w:r>
      <w:r>
        <w:fldChar w:fldCharType="end"/>
      </w:r>
    </w:p>
    <w:p w:rsidR="00AD688E" w:rsidP="00AD688E">
      <w:pPr>
        <w:pStyle w:val="Version"/>
        <w:sectPr w:rsidSect="00E21CA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21CA2" w:rsidP="00E21CA2">
      <w:pPr>
        <w:pStyle w:val="SuperHeading"/>
      </w:pPr>
      <w:r w:rsidRPr="00E21CA2">
        <w:t>Assessment Requirements for AURTTF105 Diagnose and repair engine forced-induction systems</w:t>
      </w:r>
    </w:p>
    <w:p w:rsidR="00000000" w:rsidRPr="00E21CA2" w:rsidP="00E21CA2">
      <w:pPr>
        <w:pStyle w:val="Heading1"/>
      </w:pPr>
      <w:bookmarkStart w:id="1" w:name="O_1113209"/>
      <w:bookmarkEnd w:id="1"/>
      <w:r w:rsidRPr="00E21CA2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516"/>
      </w:tblGrid>
      <w:tr w:rsidTr="00E21CA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1CA2" w:rsidP="00E21CA2">
            <w:pPr>
              <w:pStyle w:val="BodyText"/>
            </w:pPr>
            <w:r w:rsidRPr="00E21CA2">
              <w:rPr>
                <w:rStyle w:val="SpecialBold"/>
              </w:rPr>
              <w:t>Release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1CA2">
            <w:pPr>
              <w:pStyle w:val="BodyText"/>
              <w:rPr>
                <w:lang w:val="en-NZ"/>
              </w:rPr>
            </w:pPr>
            <w:r w:rsidRPr="00E21CA2">
              <w:rPr>
                <w:rStyle w:val="SpecialBold"/>
              </w:rPr>
              <w:t>Comments</w:t>
            </w:r>
          </w:p>
        </w:tc>
      </w:tr>
      <w:tr w:rsidTr="00E21CA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1CA2">
            <w:pPr>
              <w:pStyle w:val="BodyText"/>
              <w:rPr>
                <w:lang w:val="en-NZ"/>
              </w:rPr>
            </w:pPr>
            <w:r w:rsidRPr="00E21CA2">
              <w:t>Release 1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1CA2" w:rsidP="00E21CA2">
            <w:pPr>
              <w:pStyle w:val="BodyText"/>
            </w:pPr>
            <w:r w:rsidRPr="00E21CA2">
              <w:t>This version first released with AUR Automotive Retail, Ser</w:t>
            </w:r>
            <w:r w:rsidRPr="00E21CA2">
              <w:t>vice and Repair Training Package Version 6.0</w:t>
            </w:r>
          </w:p>
        </w:tc>
      </w:tr>
    </w:tbl>
    <w:p w:rsidR="00000000" w:rsidRPr="00E21CA2" w:rsidP="00E21CA2">
      <w:pPr>
        <w:pStyle w:val="BodyText"/>
      </w:pPr>
    </w:p>
    <w:p w:rsidR="00000000" w:rsidRPr="00E21CA2" w:rsidP="00E21CA2">
      <w:pPr>
        <w:pStyle w:val="AllowPageBreak"/>
      </w:pPr>
    </w:p>
    <w:p w:rsidR="00000000" w:rsidRPr="00E21CA2" w:rsidP="00E21CA2">
      <w:pPr>
        <w:pStyle w:val="Heading1"/>
      </w:pPr>
      <w:bookmarkStart w:id="2" w:name="O_1113212"/>
      <w:bookmarkEnd w:id="2"/>
      <w:r w:rsidRPr="00E21CA2">
        <w:t>Performance Evidence</w:t>
      </w:r>
    </w:p>
    <w:p w:rsidR="00000000" w:rsidRPr="00E21CA2" w:rsidP="00AD688E">
      <w:pPr>
        <w:pStyle w:val="BodyText"/>
      </w:pPr>
      <w:r w:rsidRPr="00E21CA2">
        <w:t>The candidate must demonstrate the ability to complete the tasks outlined in the elements, performance criteria and foundation skills of this unit, including evidence of</w:t>
      </w:r>
      <w:r w:rsidRPr="00E21CA2">
        <w:t xml:space="preserve"> the ability to:</w:t>
      </w:r>
    </w:p>
    <w:p w:rsidR="00000000" w:rsidRPr="00E21CA2" w:rsidP="00E21CA2">
      <w:pPr>
        <w:pStyle w:val="ListBullet"/>
      </w:pPr>
      <w:r w:rsidRPr="00E21CA2">
        <w:t>diagnose and repair a turbocharger fault in an engine forced-induction system</w:t>
      </w:r>
    </w:p>
    <w:p w:rsidR="00000000" w:rsidRPr="00E21CA2" w:rsidP="00E21CA2">
      <w:pPr>
        <w:pStyle w:val="ListBullet"/>
      </w:pPr>
      <w:r w:rsidRPr="00E21CA2">
        <w:t>diagnose and repair a fault in at least two of the following components of engine forced-induction systems:</w:t>
      </w:r>
    </w:p>
    <w:p w:rsidR="00000000" w:rsidRPr="00E21CA2" w:rsidP="00E21CA2">
      <w:pPr>
        <w:pStyle w:val="ListBullet2"/>
      </w:pPr>
      <w:r w:rsidRPr="00E21CA2">
        <w:t>variable turbocharger</w:t>
      </w:r>
    </w:p>
    <w:p w:rsidR="00000000" w:rsidRPr="00E21CA2" w:rsidP="00E21CA2">
      <w:pPr>
        <w:pStyle w:val="ListBullet2"/>
      </w:pPr>
      <w:r w:rsidRPr="00E21CA2">
        <w:t>compound turbocharger</w:t>
      </w:r>
    </w:p>
    <w:p w:rsidR="00000000" w:rsidRPr="00E21CA2" w:rsidP="00E21CA2">
      <w:pPr>
        <w:pStyle w:val="ListBullet2"/>
      </w:pPr>
      <w:r w:rsidRPr="00E21CA2">
        <w:t>waste-gate actuator</w:t>
      </w:r>
    </w:p>
    <w:p w:rsidR="00000000" w:rsidRPr="00E21CA2" w:rsidP="00E21CA2">
      <w:pPr>
        <w:pStyle w:val="ListBullet2"/>
      </w:pPr>
      <w:r w:rsidRPr="00E21CA2">
        <w:t>intercooler</w:t>
      </w:r>
    </w:p>
    <w:p w:rsidR="00000000" w:rsidRPr="00E21CA2" w:rsidP="00E21CA2">
      <w:pPr>
        <w:pStyle w:val="ListBullet2"/>
      </w:pPr>
      <w:r w:rsidRPr="00E21CA2">
        <w:t>supercharger.</w:t>
      </w:r>
    </w:p>
    <w:p w:rsidR="00000000" w:rsidRPr="00E21CA2" w:rsidP="00E21CA2">
      <w:pPr>
        <w:pStyle w:val="AllowPageBreak"/>
      </w:pPr>
    </w:p>
    <w:p w:rsidR="00000000" w:rsidRPr="00E21CA2" w:rsidP="00E21CA2">
      <w:pPr>
        <w:pStyle w:val="Heading1"/>
      </w:pPr>
      <w:bookmarkStart w:id="3" w:name="O_1113211"/>
      <w:bookmarkEnd w:id="3"/>
      <w:r w:rsidRPr="00E21CA2">
        <w:t>Knowledge Evidence</w:t>
      </w:r>
    </w:p>
    <w:p w:rsidR="00000000" w:rsidRPr="00E21CA2" w:rsidP="00AD688E">
      <w:pPr>
        <w:pStyle w:val="BodyText"/>
      </w:pPr>
      <w:r w:rsidRPr="00E21CA2">
        <w:t>The candidate must be able to demonstrate knowledge to complete the tasks outlined in the elements, performance criteria and foundation skills of this unit, including knowl</w:t>
      </w:r>
      <w:r w:rsidRPr="00E21CA2">
        <w:t>edge of:</w:t>
      </w:r>
    </w:p>
    <w:p w:rsidR="00000000" w:rsidRPr="00E21CA2" w:rsidP="00E21CA2">
      <w:pPr>
        <w:pStyle w:val="ListBullet"/>
      </w:pPr>
      <w:r w:rsidRPr="00E21CA2">
        <w:t>methods to locate and interpret information required to diagnose and repair engine forced-induction systems, including:</w:t>
      </w:r>
    </w:p>
    <w:p w:rsidR="00000000" w:rsidRPr="00E21CA2" w:rsidP="00E21CA2">
      <w:pPr>
        <w:pStyle w:val="ListBullet2"/>
      </w:pPr>
      <w:r w:rsidRPr="00E21CA2">
        <w:t>information provided by customers and supervisors</w:t>
      </w:r>
    </w:p>
    <w:p w:rsidR="00000000" w:rsidRPr="00E21CA2" w:rsidP="00E21CA2">
      <w:pPr>
        <w:pStyle w:val="ListBullet2"/>
      </w:pPr>
      <w:r w:rsidRPr="00E21CA2">
        <w:t>manufacturer specifications and procedures or equivalent documentation</w:t>
      </w:r>
    </w:p>
    <w:p w:rsidR="00000000" w:rsidRPr="00E21CA2" w:rsidP="00E21CA2">
      <w:pPr>
        <w:pStyle w:val="ListBullet"/>
      </w:pPr>
      <w:r w:rsidRPr="00E21CA2">
        <w:t>wor</w:t>
      </w:r>
      <w:r w:rsidRPr="00E21CA2">
        <w:t xml:space="preserve">kplace procedures required to diagnose and repair engine forced-induction systems, including: </w:t>
      </w:r>
    </w:p>
    <w:p w:rsidR="00000000" w:rsidRPr="00E21CA2" w:rsidP="00E21CA2">
      <w:pPr>
        <w:pStyle w:val="ListBullet2"/>
      </w:pPr>
      <w:r w:rsidRPr="00E21CA2">
        <w:t>establishing serviceability of tools and equipment</w:t>
      </w:r>
    </w:p>
    <w:p w:rsidR="00000000" w:rsidRPr="00E21CA2" w:rsidP="00E21CA2">
      <w:pPr>
        <w:pStyle w:val="ListBullet2"/>
      </w:pPr>
      <w:r w:rsidRPr="00E21CA2">
        <w:t>documentation procedures</w:t>
      </w:r>
    </w:p>
    <w:p w:rsidR="00000000" w:rsidRPr="00E21CA2" w:rsidP="00E21CA2">
      <w:pPr>
        <w:pStyle w:val="ListBullet2"/>
      </w:pPr>
      <w:r w:rsidRPr="00E21CA2">
        <w:t>housekeeping procedures, including:</w:t>
      </w:r>
    </w:p>
    <w:p w:rsidR="00000000" w:rsidRPr="00E21CA2" w:rsidP="00E21CA2">
      <w:pPr>
        <w:pStyle w:val="ListBullet3"/>
      </w:pPr>
      <w:r w:rsidRPr="00E21CA2">
        <w:t>examination of tools and equipment</w:t>
      </w:r>
    </w:p>
    <w:p w:rsidR="00000000" w:rsidRPr="00E21CA2" w:rsidP="00E21CA2">
      <w:pPr>
        <w:pStyle w:val="ListBullet3"/>
      </w:pPr>
      <w:r w:rsidRPr="00E21CA2">
        <w:t>storage of equipment</w:t>
      </w:r>
    </w:p>
    <w:p w:rsidR="00000000" w:rsidRPr="00E21CA2" w:rsidP="00E21CA2">
      <w:pPr>
        <w:pStyle w:val="ListBullet3"/>
      </w:pPr>
      <w:r w:rsidRPr="00E21CA2">
        <w:t>identification, tagging and isolation of faulty equipment</w:t>
      </w:r>
    </w:p>
    <w:p w:rsidR="00000000" w:rsidRPr="00E21CA2" w:rsidP="00E21CA2">
      <w:pPr>
        <w:pStyle w:val="ListBullet3"/>
      </w:pPr>
      <w:r w:rsidRPr="00E21CA2">
        <w:t>disposal of excess materials</w:t>
      </w:r>
    </w:p>
    <w:p w:rsidR="00000000" w:rsidRPr="00E21CA2" w:rsidP="00E21CA2">
      <w:pPr>
        <w:pStyle w:val="ListBullet3"/>
      </w:pPr>
      <w:r w:rsidRPr="00E21CA2">
        <w:t>recycling procedures</w:t>
      </w:r>
    </w:p>
    <w:p w:rsidR="00000000" w:rsidRPr="00E21CA2" w:rsidP="00E21CA2">
      <w:pPr>
        <w:pStyle w:val="ListBullet"/>
      </w:pPr>
      <w:r w:rsidRPr="00E21CA2">
        <w:t>workplace health and safety (WHS) requirements relating to diagnosing and repairing engine forced-induction systems, including</w:t>
      </w:r>
      <w:r w:rsidRPr="00E21CA2">
        <w:t xml:space="preserve"> procedures for working with high temperature exhaust and intake system components</w:t>
      </w:r>
    </w:p>
    <w:p w:rsidR="00000000" w:rsidRPr="00E21CA2" w:rsidP="00E21CA2">
      <w:pPr>
        <w:pStyle w:val="ListBullet"/>
      </w:pPr>
      <w:r w:rsidRPr="00E21CA2">
        <w:t>environmental requirements relating to diagnosing and repairing engine forced-induction systems, including those relevant to exhaust gases such as hydrocarbons</w:t>
      </w:r>
    </w:p>
    <w:p w:rsidR="00000000" w:rsidRPr="00E21CA2" w:rsidP="00E21CA2">
      <w:pPr>
        <w:pStyle w:val="ListBullet"/>
      </w:pPr>
      <w:r w:rsidRPr="00E21CA2">
        <w:t>purpose and operation of engine forced-induction systems, including procedures for testing:</w:t>
      </w:r>
    </w:p>
    <w:p w:rsidR="00000000" w:rsidRPr="00E21CA2" w:rsidP="00E21CA2">
      <w:pPr>
        <w:pStyle w:val="ListBullet2"/>
      </w:pPr>
      <w:r w:rsidRPr="00E21CA2">
        <w:t>turbochargers, including:</w:t>
      </w:r>
    </w:p>
    <w:p w:rsidR="00000000" w:rsidRPr="00E21CA2" w:rsidP="00E21CA2">
      <w:pPr>
        <w:pStyle w:val="ListBullet3"/>
      </w:pPr>
      <w:r w:rsidRPr="00E21CA2">
        <w:t>twin scroll</w:t>
      </w:r>
    </w:p>
    <w:p w:rsidR="00000000" w:rsidRPr="00E21CA2" w:rsidP="00E21CA2">
      <w:pPr>
        <w:pStyle w:val="ListBullet3"/>
      </w:pPr>
      <w:r w:rsidRPr="00E21CA2">
        <w:t>twin turbocharger</w:t>
      </w:r>
    </w:p>
    <w:p w:rsidR="00000000" w:rsidRPr="00E21CA2" w:rsidP="00E21CA2">
      <w:pPr>
        <w:pStyle w:val="ListBullet3"/>
      </w:pPr>
      <w:r w:rsidRPr="00E21CA2">
        <w:t>turbo compounding</w:t>
      </w:r>
    </w:p>
    <w:p w:rsidR="00000000" w:rsidRPr="00E21CA2" w:rsidP="00E21CA2">
      <w:pPr>
        <w:pStyle w:val="ListBullet3"/>
      </w:pPr>
      <w:r w:rsidRPr="00E21CA2">
        <w:t>variable geometry turbocharger</w:t>
      </w:r>
    </w:p>
    <w:p w:rsidR="00000000" w:rsidRPr="00E21CA2" w:rsidP="00E21CA2">
      <w:pPr>
        <w:pStyle w:val="ListBullet3"/>
      </w:pPr>
      <w:r w:rsidRPr="00E21CA2">
        <w:t>waste-gate operation</w:t>
      </w:r>
    </w:p>
    <w:p w:rsidR="00000000" w:rsidRPr="00E21CA2" w:rsidP="00E21CA2">
      <w:pPr>
        <w:pStyle w:val="ListBullet3"/>
      </w:pPr>
      <w:r w:rsidRPr="00E21CA2">
        <w:t>lubrication and cooling</w:t>
      </w:r>
    </w:p>
    <w:p w:rsidR="00000000" w:rsidRPr="00E21CA2" w:rsidP="00E21CA2">
      <w:pPr>
        <w:pStyle w:val="ListBullet3"/>
      </w:pPr>
      <w:r w:rsidRPr="00E21CA2">
        <w:t>intercooler operation, including air to air and water to air</w:t>
      </w:r>
    </w:p>
    <w:p w:rsidR="00000000" w:rsidRPr="00E21CA2" w:rsidP="00E21CA2">
      <w:pPr>
        <w:pStyle w:val="ListBullet2"/>
      </w:pPr>
      <w:r w:rsidRPr="00E21CA2">
        <w:t>supercharger operation</w:t>
      </w:r>
    </w:p>
    <w:p w:rsidR="00000000" w:rsidRPr="00E21CA2" w:rsidP="00E21CA2">
      <w:pPr>
        <w:pStyle w:val="ListBullet"/>
      </w:pPr>
      <w:r w:rsidRPr="00E21CA2">
        <w:t>diagnostic testing procedures for engine forced-induction systems, including:</w:t>
      </w:r>
    </w:p>
    <w:p w:rsidR="00000000" w:rsidRPr="00E21CA2" w:rsidP="00E21CA2">
      <w:pPr>
        <w:pStyle w:val="ListBullet2"/>
      </w:pPr>
      <w:r w:rsidRPr="00E21CA2">
        <w:t>intake manifold pressure and vacuum testing</w:t>
      </w:r>
    </w:p>
    <w:p w:rsidR="00000000" w:rsidRPr="00E21CA2" w:rsidP="00E21CA2">
      <w:pPr>
        <w:pStyle w:val="ListBullet2"/>
      </w:pPr>
      <w:r w:rsidRPr="00E21CA2">
        <w:t>intake and exhaust system leak testing</w:t>
      </w:r>
    </w:p>
    <w:p w:rsidR="00000000" w:rsidRPr="00E21CA2" w:rsidP="00E21CA2">
      <w:pPr>
        <w:pStyle w:val="ListBullet2"/>
      </w:pPr>
      <w:r w:rsidRPr="00E21CA2">
        <w:t>turbo bo</w:t>
      </w:r>
      <w:r w:rsidRPr="00E21CA2">
        <w:t>ost air pressure</w:t>
      </w:r>
    </w:p>
    <w:p w:rsidR="00000000" w:rsidRPr="00E21CA2" w:rsidP="00E21CA2">
      <w:pPr>
        <w:pStyle w:val="ListBullet2"/>
      </w:pPr>
      <w:r w:rsidRPr="00E21CA2">
        <w:t>intercooler pressure and temperature checks, types include air to air and air to water</w:t>
      </w:r>
    </w:p>
    <w:p w:rsidR="00000000" w:rsidRPr="00E21CA2" w:rsidP="00E21CA2">
      <w:pPr>
        <w:pStyle w:val="ListBullet2"/>
      </w:pPr>
      <w:r w:rsidRPr="00E21CA2">
        <w:t>oil supply</w:t>
      </w:r>
    </w:p>
    <w:p w:rsidR="00000000" w:rsidRPr="00E21CA2" w:rsidP="00E21CA2">
      <w:pPr>
        <w:pStyle w:val="ListBullet2"/>
      </w:pPr>
      <w:r w:rsidRPr="00E21CA2">
        <w:t>oil return to sump</w:t>
      </w:r>
    </w:p>
    <w:p w:rsidR="00000000" w:rsidRPr="00E21CA2" w:rsidP="00E21CA2">
      <w:pPr>
        <w:pStyle w:val="ListBullet2"/>
      </w:pPr>
      <w:r w:rsidRPr="00E21CA2">
        <w:t>turbocharger waste-gate testing</w:t>
      </w:r>
    </w:p>
    <w:p w:rsidR="00000000" w:rsidRPr="00E21CA2" w:rsidP="00E21CA2">
      <w:pPr>
        <w:pStyle w:val="ListBullet2"/>
      </w:pPr>
      <w:r w:rsidRPr="00E21CA2">
        <w:t>visual inspection for oil leakage</w:t>
      </w:r>
    </w:p>
    <w:p w:rsidR="00000000" w:rsidRPr="00E21CA2" w:rsidP="00E21CA2">
      <w:pPr>
        <w:pStyle w:val="ListBullet2"/>
      </w:pPr>
      <w:r w:rsidRPr="00E21CA2">
        <w:t>turbine rotating assembly end float and axial movement</w:t>
      </w:r>
    </w:p>
    <w:p w:rsidR="00000000" w:rsidRPr="00E21CA2" w:rsidP="00E21CA2">
      <w:pPr>
        <w:pStyle w:val="ListBullet"/>
      </w:pPr>
      <w:r w:rsidRPr="00E21CA2">
        <w:t>repair procedures for engine forced-induction systems, including procedures for:</w:t>
      </w:r>
    </w:p>
    <w:p w:rsidR="00000000" w:rsidRPr="00E21CA2" w:rsidP="00E21CA2">
      <w:pPr>
        <w:pStyle w:val="ListBullet2"/>
      </w:pPr>
      <w:r w:rsidRPr="00E21CA2">
        <w:t>removing and replacing turbochargers</w:t>
      </w:r>
    </w:p>
    <w:p w:rsidR="00000000" w:rsidRPr="00E21CA2" w:rsidP="00E21CA2">
      <w:pPr>
        <w:pStyle w:val="ListBullet2"/>
      </w:pPr>
      <w:r w:rsidRPr="00E21CA2">
        <w:t>testing, removing, replacing and adjusting waste-gates</w:t>
      </w:r>
    </w:p>
    <w:p w:rsidR="00000000" w:rsidRPr="00E21CA2" w:rsidP="00E21CA2">
      <w:pPr>
        <w:pStyle w:val="ListBullet"/>
      </w:pPr>
      <w:r w:rsidRPr="00E21CA2">
        <w:t>post-repair testing procedures for engine forced-induction systems.</w:t>
      </w:r>
    </w:p>
    <w:p w:rsidR="00000000" w:rsidRPr="00E21CA2" w:rsidP="00E21CA2">
      <w:pPr>
        <w:pStyle w:val="AllowPageBreak"/>
      </w:pPr>
    </w:p>
    <w:p w:rsidR="00000000" w:rsidRPr="00E21CA2" w:rsidP="00E21CA2">
      <w:pPr>
        <w:pStyle w:val="Heading1"/>
      </w:pPr>
      <w:bookmarkStart w:id="4" w:name="O_1113210"/>
      <w:bookmarkEnd w:id="4"/>
      <w:r w:rsidRPr="00E21CA2">
        <w:t>Assessment Conditions</w:t>
      </w:r>
    </w:p>
    <w:p w:rsidR="00000000" w:rsidRPr="00E21CA2" w:rsidP="00AD688E">
      <w:pPr>
        <w:pStyle w:val="BodyText"/>
      </w:pPr>
      <w:r w:rsidRPr="00E21CA2">
        <w:t>Competency is to be assessed in the workplace or a simulated environment that accurately reflects performance in a real workplace setting.</w:t>
      </w:r>
    </w:p>
    <w:p w:rsidR="00000000" w:rsidRPr="00E21CA2" w:rsidP="00AD688E">
      <w:pPr>
        <w:pStyle w:val="BodyText"/>
      </w:pPr>
      <w:r w:rsidRPr="00E21CA2">
        <w:t>Assessment must include direct observation of tasks.</w:t>
      </w:r>
    </w:p>
    <w:p w:rsidR="00000000" w:rsidRPr="00E21CA2" w:rsidP="00AD688E">
      <w:pPr>
        <w:pStyle w:val="BodyText"/>
      </w:pPr>
      <w:r w:rsidRPr="00E21CA2">
        <w:t>Where assessment of competency includes third-party evidence, individuals must provide evidence that links them to the engine forced-induction systems that they have worked on, e.g. repair orders.</w:t>
      </w:r>
    </w:p>
    <w:p w:rsidR="00000000" w:rsidRPr="00E21CA2" w:rsidP="00AD688E">
      <w:pPr>
        <w:pStyle w:val="BodyText"/>
      </w:pPr>
      <w:r w:rsidRPr="00E21CA2">
        <w:t>Assessors must verify performance evidence through question</w:t>
      </w:r>
      <w:r w:rsidRPr="00E21CA2">
        <w:t>ing on skills and knowledge to ensure correct interpretation and application.</w:t>
      </w:r>
    </w:p>
    <w:p w:rsidR="00000000" w:rsidRPr="00E21CA2" w:rsidP="00AD688E">
      <w:pPr>
        <w:pStyle w:val="BodyText"/>
      </w:pPr>
      <w:r w:rsidRPr="00E21CA2">
        <w:t>The following resources must be made available:</w:t>
      </w:r>
    </w:p>
    <w:p w:rsidR="00000000" w:rsidRPr="00E21CA2" w:rsidP="00E21CA2">
      <w:pPr>
        <w:pStyle w:val="ListBullet"/>
      </w:pPr>
      <w:r w:rsidRPr="00E21CA2">
        <w:t>automotive repair workplace or simulated workplace</w:t>
      </w:r>
    </w:p>
    <w:p w:rsidR="00000000" w:rsidRPr="00E21CA2" w:rsidP="00E21CA2">
      <w:pPr>
        <w:pStyle w:val="ListBullet"/>
      </w:pPr>
      <w:r w:rsidRPr="00E21CA2">
        <w:t>workplace instructions</w:t>
      </w:r>
    </w:p>
    <w:p w:rsidR="00000000" w:rsidRPr="00E21CA2" w:rsidP="00E21CA2">
      <w:pPr>
        <w:pStyle w:val="ListBullet"/>
      </w:pPr>
      <w:r w:rsidRPr="00E21CA2">
        <w:t>manufacturer engine forced-induction system specificati</w:t>
      </w:r>
      <w:r w:rsidRPr="00E21CA2">
        <w:t>ons</w:t>
      </w:r>
    </w:p>
    <w:p w:rsidR="00000000" w:rsidRPr="00E21CA2" w:rsidP="00E21CA2">
      <w:pPr>
        <w:pStyle w:val="ListBullet"/>
      </w:pPr>
      <w:r w:rsidRPr="00E21CA2">
        <w:t>one vehicle or machinery with engine forced-induction systems and a fault in turbocharger</w:t>
      </w:r>
    </w:p>
    <w:p w:rsidR="00000000" w:rsidRPr="00E21CA2" w:rsidP="00E21CA2">
      <w:pPr>
        <w:pStyle w:val="ListBullet"/>
      </w:pPr>
      <w:r w:rsidRPr="00E21CA2">
        <w:t>diagnostic equipment for engine forced-induction systems, including dial indicator, vacuum and pressure gauges, and temperature gauges</w:t>
      </w:r>
    </w:p>
    <w:p w:rsidR="00000000" w:rsidRPr="00E21CA2" w:rsidP="00E21CA2">
      <w:pPr>
        <w:pStyle w:val="ListBullet"/>
      </w:pPr>
      <w:r w:rsidRPr="00E21CA2">
        <w:t>tools, equipment and materi</w:t>
      </w:r>
      <w:r w:rsidRPr="00E21CA2">
        <w:t>als appropriate for repairing engine forced-induction systems.</w:t>
      </w:r>
    </w:p>
    <w:p w:rsidR="00000000" w:rsidRPr="00E21CA2" w:rsidP="00E21CA2">
      <w:pPr>
        <w:pStyle w:val="List"/>
      </w:pPr>
    </w:p>
    <w:p w:rsidR="00000000" w:rsidRPr="00E21CA2" w:rsidP="00AD688E">
      <w:pPr>
        <w:pStyle w:val="BodyText"/>
      </w:pPr>
      <w:r w:rsidRPr="00E21CA2">
        <w:t>Assessors of this unit must satisfy the requirements for assessors in applicable vocational education and training legislation, frameworks and/or standards.</w:t>
      </w:r>
    </w:p>
    <w:p w:rsidR="00000000" w:rsidRPr="00E21CA2" w:rsidP="00E21CA2">
      <w:pPr>
        <w:pStyle w:val="Heading1"/>
      </w:pPr>
      <w:bookmarkStart w:id="5" w:name="O_1113208"/>
      <w:bookmarkEnd w:id="5"/>
      <w:r w:rsidRPr="00E21CA2">
        <w:t>Links</w:t>
      </w:r>
    </w:p>
    <w:p w:rsidR="00000000" w:rsidRPr="00E21CA2" w:rsidP="00AD688E">
      <w:pPr>
        <w:pStyle w:val="BodyText"/>
      </w:pPr>
      <w:r w:rsidRPr="00E21CA2">
        <w:t xml:space="preserve">Companion </w:t>
      </w:r>
      <w:r w:rsidRPr="00E21CA2">
        <w:t xml:space="preserve">Volume Implementation Guide is found on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4C5E6B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E21CA2" w:rsidP="00E21CA2"/>
    <w:sectPr w:rsidSect="00E21CA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1CA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1CA2" w:rsidRPr="00AD688E" w:rsidP="00AD688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1CA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688E" w:rsidP="00E21CA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D688E" w:rsidP="00E21CA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Mining and Automotive Skills Alliance</w:t>
    </w:r>
    <w:r>
      <w:fldChar w:fldCharType="end"/>
    </w:r>
  </w:p>
  <w:p w:rsidR="00AD688E" w:rsidP="00E21CA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1CA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688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21CA2" w:rsidRPr="00AD688E" w:rsidP="00AD688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1CA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688E" w:rsidRPr="002D2AF8" w:rsidP="00E21CA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AURTTF105 Diagnose and repair engine forced-induction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2023</w:t>
    </w:r>
    <w:r>
      <w:fldChar w:fldCharType="end"/>
    </w:r>
  </w:p>
  <w:p w:rsidR="00AD688E" w:rsidP="00E21CA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1729EC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B7C368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B70714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21CA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21CA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21CA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21CA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21CA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21CA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21CA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21CA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21CA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21CA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21CA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21CA2"/>
  </w:style>
  <w:style w:type="character" w:customStyle="1" w:styleId="Heading1Char">
    <w:name w:val="Heading 1 Char"/>
    <w:basedOn w:val="DefaultParagraphFont"/>
    <w:link w:val="Heading1"/>
    <w:rsid w:val="00E21CA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21CA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21CA2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E21CA2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E21CA2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21CA2"/>
    <w:rPr>
      <w:b/>
      <w:spacing w:val="0"/>
    </w:rPr>
  </w:style>
  <w:style w:type="paragraph" w:styleId="ListBullet2">
    <w:name w:val="List Bullet 2"/>
    <w:basedOn w:val="List2"/>
    <w:rsid w:val="00E21CA2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E21CA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21CA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E21CA2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E21CA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21CA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21CA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21CA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21CA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21CA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21CA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21CA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21CA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21CA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21CA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21CA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21CA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21CA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21CA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21CA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21CA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21CA2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E21CA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21CA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21CA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21CA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21CA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21CA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21CA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21CA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21CA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21CA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21CA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21CA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21CA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21CA2"/>
    <w:rPr>
      <w:i/>
    </w:rPr>
  </w:style>
  <w:style w:type="paragraph" w:styleId="Caption">
    <w:name w:val="caption"/>
    <w:basedOn w:val="BodyText"/>
    <w:next w:val="Normal"/>
    <w:qFormat/>
    <w:rsid w:val="00E21CA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21CA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21CA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21CA2"/>
  </w:style>
  <w:style w:type="paragraph" w:styleId="TableofFigures">
    <w:name w:val="table of figures"/>
    <w:basedOn w:val="Normal"/>
    <w:next w:val="Normal"/>
    <w:semiHidden/>
    <w:rsid w:val="00E21CA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21CA2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E21CA2"/>
    <w:rPr>
      <w:rFonts w:ascii="Wingdings" w:hAnsi="Wingdings"/>
    </w:rPr>
  </w:style>
  <w:style w:type="paragraph" w:customStyle="1" w:styleId="TableHeading">
    <w:name w:val="Table Heading"/>
    <w:basedOn w:val="HeadingBase"/>
    <w:rsid w:val="00E21CA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21CA2"/>
    <w:rPr>
      <w:color w:val="0033CC"/>
      <w:u w:val="none"/>
    </w:rPr>
  </w:style>
  <w:style w:type="paragraph" w:customStyle="1" w:styleId="BodyTextRight">
    <w:name w:val="Body Text Right"/>
    <w:basedOn w:val="BodyText"/>
    <w:rsid w:val="00E21CA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21CA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21CA2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21CA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21CA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21CA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21CA2"/>
    <w:rPr>
      <w:sz w:val="32"/>
    </w:rPr>
  </w:style>
  <w:style w:type="paragraph" w:customStyle="1" w:styleId="HeadingProcedure">
    <w:name w:val="Heading Procedure"/>
    <w:basedOn w:val="HeadingBase"/>
    <w:next w:val="Normal"/>
    <w:rsid w:val="00E21CA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21CA2"/>
    <w:pPr>
      <w:spacing w:before="60" w:after="60"/>
    </w:pPr>
  </w:style>
  <w:style w:type="paragraph" w:styleId="ListContinue">
    <w:name w:val="List Continue"/>
    <w:basedOn w:val="List"/>
    <w:rsid w:val="00E21CA2"/>
    <w:pPr>
      <w:ind w:firstLine="0"/>
    </w:pPr>
  </w:style>
  <w:style w:type="paragraph" w:customStyle="1" w:styleId="ListNote">
    <w:name w:val="List Note"/>
    <w:basedOn w:val="List"/>
    <w:rsid w:val="00E21CA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21CA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21CA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21CA2"/>
    <w:rPr>
      <w:rFonts w:ascii="Courier New" w:hAnsi="Courier New"/>
    </w:rPr>
  </w:style>
  <w:style w:type="paragraph" w:customStyle="1" w:styleId="NoteBullet">
    <w:name w:val="Note Bullet"/>
    <w:basedOn w:val="Note"/>
    <w:rsid w:val="00E21CA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21CA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21CA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21CA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21CA2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E21CA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21CA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21CA2"/>
    <w:rPr>
      <w:b/>
      <w:smallCaps/>
    </w:rPr>
  </w:style>
  <w:style w:type="paragraph" w:customStyle="1" w:styleId="TableListNumber">
    <w:name w:val="Table List Number"/>
    <w:basedOn w:val="ListNumber"/>
    <w:rsid w:val="00E21CA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21CA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21CA2"/>
    <w:pPr>
      <w:numPr>
        <w:numId w:val="10"/>
      </w:numPr>
    </w:pPr>
  </w:style>
  <w:style w:type="paragraph" w:customStyle="1" w:styleId="ListAlpha2">
    <w:name w:val="List Alpha 2"/>
    <w:basedOn w:val="List2"/>
    <w:rsid w:val="00E21CA2"/>
    <w:pPr>
      <w:numPr>
        <w:numId w:val="9"/>
      </w:numPr>
    </w:pPr>
  </w:style>
  <w:style w:type="paragraph" w:styleId="List2">
    <w:name w:val="List 2"/>
    <w:basedOn w:val="BodyText"/>
    <w:rsid w:val="00E21CA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21CA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21CA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21CA2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E21CA2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E21CA2"/>
    <w:pPr>
      <w:numPr>
        <w:numId w:val="5"/>
      </w:numPr>
    </w:pPr>
  </w:style>
  <w:style w:type="paragraph" w:styleId="ListContinue2">
    <w:name w:val="List Continue 2"/>
    <w:basedOn w:val="List2"/>
    <w:rsid w:val="00E21CA2"/>
    <w:pPr>
      <w:ind w:firstLine="0"/>
    </w:pPr>
  </w:style>
  <w:style w:type="paragraph" w:styleId="ListContinue3">
    <w:name w:val="List Continue 3"/>
    <w:basedOn w:val="List3"/>
    <w:rsid w:val="00E21CA2"/>
    <w:pPr>
      <w:ind w:left="1021" w:firstLine="0"/>
    </w:pPr>
  </w:style>
  <w:style w:type="paragraph" w:styleId="ListContinue4">
    <w:name w:val="List Continue 4"/>
    <w:basedOn w:val="List4"/>
    <w:rsid w:val="00E21CA2"/>
    <w:pPr>
      <w:ind w:firstLine="0"/>
    </w:pPr>
  </w:style>
  <w:style w:type="paragraph" w:styleId="ListContinue5">
    <w:name w:val="List Continue 5"/>
    <w:basedOn w:val="List5"/>
    <w:rsid w:val="00E21CA2"/>
    <w:pPr>
      <w:ind w:firstLine="0"/>
    </w:pPr>
  </w:style>
  <w:style w:type="paragraph" w:styleId="ListNumber3">
    <w:name w:val="List Number 3"/>
    <w:basedOn w:val="List3"/>
    <w:rsid w:val="00E21CA2"/>
    <w:pPr>
      <w:numPr>
        <w:numId w:val="6"/>
      </w:numPr>
    </w:pPr>
  </w:style>
  <w:style w:type="paragraph" w:styleId="ListNumber4">
    <w:name w:val="List Number 4"/>
    <w:basedOn w:val="List4"/>
    <w:rsid w:val="00E21CA2"/>
    <w:pPr>
      <w:numPr>
        <w:numId w:val="7"/>
      </w:numPr>
    </w:pPr>
  </w:style>
  <w:style w:type="paragraph" w:styleId="ListNumber5">
    <w:name w:val="List Number 5"/>
    <w:basedOn w:val="List5"/>
    <w:rsid w:val="00E21CA2"/>
    <w:pPr>
      <w:numPr>
        <w:numId w:val="8"/>
      </w:numPr>
    </w:pPr>
  </w:style>
  <w:style w:type="paragraph" w:styleId="BlockText">
    <w:name w:val="Block Text"/>
    <w:basedOn w:val="Normal"/>
    <w:rsid w:val="00E21CA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21CA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21CA2"/>
    <w:rPr>
      <w:sz w:val="16"/>
      <w:vertAlign w:val="superscript"/>
    </w:rPr>
  </w:style>
  <w:style w:type="character" w:customStyle="1" w:styleId="Symbols">
    <w:name w:val="Symbols"/>
    <w:basedOn w:val="DefaultParagraphFont"/>
    <w:rsid w:val="00E21CA2"/>
    <w:rPr>
      <w:rFonts w:ascii="Symbol" w:hAnsi="Symbol"/>
    </w:rPr>
  </w:style>
  <w:style w:type="character" w:customStyle="1" w:styleId="MenuOptions">
    <w:name w:val="Menu Options"/>
    <w:basedOn w:val="DefaultParagraphFont"/>
    <w:rsid w:val="00E21CA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21CA2"/>
    <w:rPr>
      <w:b/>
    </w:rPr>
  </w:style>
  <w:style w:type="character" w:customStyle="1" w:styleId="Underlined">
    <w:name w:val="Underlined"/>
    <w:basedOn w:val="DefaultParagraphFont"/>
    <w:rsid w:val="00E21CA2"/>
    <w:rPr>
      <w:u w:val="single"/>
    </w:rPr>
  </w:style>
  <w:style w:type="paragraph" w:customStyle="1" w:styleId="TableBodyTextRight">
    <w:name w:val="Table Body Text Right"/>
    <w:basedOn w:val="TableBodyText"/>
    <w:rsid w:val="00E21CA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21CA2"/>
    <w:rPr>
      <w:sz w:val="18"/>
    </w:rPr>
  </w:style>
  <w:style w:type="paragraph" w:customStyle="1" w:styleId="BodySmallRight">
    <w:name w:val="Body Small Right"/>
    <w:basedOn w:val="BodyTextRight"/>
    <w:rsid w:val="00E21CA2"/>
    <w:rPr>
      <w:sz w:val="18"/>
      <w:szCs w:val="18"/>
    </w:rPr>
  </w:style>
  <w:style w:type="paragraph" w:customStyle="1" w:styleId="MarginEdition">
    <w:name w:val="Margin Edition"/>
    <w:basedOn w:val="MarginNote"/>
    <w:rsid w:val="00E21CA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21CA2"/>
    <w:rPr>
      <w:sz w:val="2"/>
      <w:szCs w:val="2"/>
    </w:rPr>
  </w:style>
  <w:style w:type="character" w:customStyle="1" w:styleId="Small">
    <w:name w:val="Small"/>
    <w:basedOn w:val="DefaultParagraphFont"/>
    <w:rsid w:val="00E21CA2"/>
    <w:rPr>
      <w:sz w:val="16"/>
    </w:rPr>
  </w:style>
  <w:style w:type="paragraph" w:customStyle="1" w:styleId="WideTable">
    <w:name w:val="Wide Table"/>
    <w:basedOn w:val="Normal"/>
    <w:rsid w:val="00E21CA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21CA2"/>
  </w:style>
  <w:style w:type="paragraph" w:styleId="Quote">
    <w:name w:val="Quote"/>
    <w:basedOn w:val="Heading1"/>
    <w:link w:val="QuoteChar"/>
    <w:qFormat/>
    <w:rsid w:val="00E21CA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21CA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21CA2"/>
    <w:pPr>
      <w:pageBreakBefore/>
    </w:pPr>
  </w:style>
  <w:style w:type="paragraph" w:customStyle="1" w:styleId="Border">
    <w:name w:val="Border"/>
    <w:basedOn w:val="Normal"/>
    <w:qFormat/>
    <w:rsid w:val="00E21CA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21CA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21CA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21CA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21CA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21CA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21CA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21CA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21CA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21CA2"/>
    <w:rPr>
      <w:u w:val="single"/>
    </w:rPr>
  </w:style>
  <w:style w:type="character" w:customStyle="1" w:styleId="BoldandItalics">
    <w:name w:val="Bold and Italics"/>
    <w:qFormat/>
    <w:rsid w:val="00E21CA2"/>
    <w:rPr>
      <w:b/>
      <w:i/>
      <w:u w:val="none"/>
    </w:rPr>
  </w:style>
  <w:style w:type="paragraph" w:styleId="BalloonText">
    <w:name w:val="Balloon Text"/>
    <w:basedOn w:val="Normal"/>
    <w:link w:val="BalloonTextChar"/>
    <w:rsid w:val="00E21CA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21CA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21CA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21CA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21CA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21CA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21CA2"/>
    <w:pPr>
      <w:spacing w:before="0" w:after="0"/>
    </w:pPr>
  </w:style>
  <w:style w:type="paragraph" w:customStyle="1" w:styleId="BodyTextBold">
    <w:name w:val="Body Text Bold"/>
    <w:basedOn w:val="BodyText"/>
    <w:qFormat/>
    <w:rsid w:val="00E21CA2"/>
    <w:rPr>
      <w:b/>
    </w:rPr>
  </w:style>
  <w:style w:type="character" w:styleId="Hyperlink">
    <w:name w:val="Hyperlink"/>
    <w:basedOn w:val="DefaultParagraphFont"/>
    <w:uiPriority w:val="99"/>
    <w:unhideWhenUsed/>
    <w:rsid w:val="00AD688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559</Words>
  <Characters>3971</Characters>
  <Application>Microsoft Office Word</Application>
  <DocSecurity>0</DocSecurity>
  <Lines>104</Lines>
  <Paragraphs>83</Paragraphs>
  <ScaleCrop>false</ScaleCrop>
  <Company>Author-it Software Corporation Ltd.</Company>
  <LinksUpToDate>false</LinksUpToDate>
  <CharactersWithSpaces>4447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AURTTF105 Diagnose and repair engine forced-induction systems</dc:title>
  <dc:subject>Approved</dc:subject>
  <dc:creator>Mining and Automotive Skills Alliance</dc:creator>
  <cp:keywords>Release: 1</cp:keywords>
  <dc:description>Review Date: 12 April 2008</dc:description>
  <cp:lastModifiedBy>HSD_TPCMSd.prod</cp:lastModifiedBy>
  <cp:revision>3</cp:revision>
  <dcterms:created xsi:type="dcterms:W3CDTF">2023-12-19T06:34:00Z</dcterms:created>
  <dcterms:modified xsi:type="dcterms:W3CDTF">2023-12-19T06:34:00Z</dcterms:modified>
</cp:coreProperties>
</file>