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607" w:rsidP="00071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AURTTE006 Remove and replace conventional engine assemblies</w:t>
      </w:r>
      <w:r>
        <w:fldChar w:fldCharType="end"/>
      </w:r>
    </w:p>
    <w:p w:rsidR="00071607" w:rsidP="00071607">
      <w:pPr>
        <w:pStyle w:val="Version"/>
        <w:sectPr w:rsidSect="00695A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A59" w:rsidP="00695A59">
      <w:pPr>
        <w:pStyle w:val="SuperHeading"/>
      </w:pPr>
      <w:r w:rsidRPr="00695A59">
        <w:t>Assessment Requirements for AURTTE006 Remove and replace conventional engine assemblies</w:t>
      </w:r>
    </w:p>
    <w:p w:rsidR="00000000" w:rsidRPr="00695A59" w:rsidP="00695A59">
      <w:pPr>
        <w:pStyle w:val="Heading1"/>
      </w:pPr>
      <w:bookmarkStart w:id="1" w:name="O_660193"/>
      <w:bookmarkEnd w:id="1"/>
      <w:r w:rsidRPr="00695A5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16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A59" w:rsidP="00695A59">
            <w:pPr>
              <w:pStyle w:val="BodyText"/>
            </w:pPr>
            <w:r w:rsidRPr="00695A5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A59">
            <w:pPr>
              <w:pStyle w:val="BodyText"/>
              <w:rPr>
                <w:lang w:val="en-NZ"/>
              </w:rPr>
            </w:pPr>
            <w:r w:rsidRPr="00695A59">
              <w:rPr>
                <w:rStyle w:val="SpecialBold"/>
              </w:rPr>
              <w:t>Comment</w:t>
            </w:r>
          </w:p>
        </w:tc>
      </w:tr>
      <w:tr w:rsidTr="000716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A59">
            <w:pPr>
              <w:pStyle w:val="BodyText"/>
              <w:rPr>
                <w:lang w:val="en-NZ"/>
              </w:rPr>
            </w:pPr>
            <w:r w:rsidRPr="00695A59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A59" w:rsidP="00695A59">
            <w:pPr>
              <w:pStyle w:val="BodyText"/>
            </w:pPr>
            <w:r w:rsidRPr="00695A59">
              <w:t>New unit of competency</w:t>
            </w:r>
          </w:p>
        </w:tc>
      </w:tr>
    </w:tbl>
    <w:p w:rsidR="00000000" w:rsidRPr="00695A59" w:rsidP="00695A59">
      <w:pPr>
        <w:pStyle w:val="BodyText"/>
      </w:pPr>
    </w:p>
    <w:p w:rsidR="00000000" w:rsidRPr="00695A59" w:rsidP="00695A59">
      <w:pPr>
        <w:pStyle w:val="AllowPageBreak"/>
      </w:pPr>
    </w:p>
    <w:p w:rsidR="00000000" w:rsidRPr="00695A59" w:rsidP="00695A59">
      <w:pPr>
        <w:pStyle w:val="Heading1"/>
      </w:pPr>
      <w:bookmarkStart w:id="2" w:name="O_660196"/>
      <w:bookmarkEnd w:id="2"/>
      <w:r w:rsidRPr="00695A59">
        <w:t>Performance Evidence</w:t>
      </w:r>
    </w:p>
    <w:p w:rsidR="00000000" w:rsidRPr="00695A59" w:rsidP="00071607">
      <w:pPr>
        <w:pStyle w:val="BodyText"/>
      </w:pPr>
      <w:r w:rsidRPr="00695A5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95A59" w:rsidP="00695A59">
      <w:pPr>
        <w:pStyle w:val="ListBullet"/>
      </w:pPr>
      <w:r w:rsidRPr="00695A59">
        <w:t>remove and replace at least one e</w:t>
      </w:r>
      <w:r w:rsidRPr="00695A59">
        <w:t>ngine assembly from a conventional rear wheel drive vehicle.</w:t>
      </w:r>
    </w:p>
    <w:p w:rsidR="00000000" w:rsidRPr="00695A59" w:rsidP="00695A59">
      <w:pPr>
        <w:pStyle w:val="AllowPageBreak"/>
      </w:pPr>
    </w:p>
    <w:p w:rsidR="00000000" w:rsidRPr="00695A59" w:rsidP="00695A59">
      <w:pPr>
        <w:pStyle w:val="Heading1"/>
      </w:pPr>
      <w:bookmarkStart w:id="3" w:name="O_660195"/>
      <w:bookmarkEnd w:id="3"/>
      <w:r w:rsidRPr="00695A59">
        <w:t>Knowledge Evidence</w:t>
      </w:r>
    </w:p>
    <w:p w:rsidR="00000000" w:rsidRPr="00695A59" w:rsidP="00071607">
      <w:pPr>
        <w:pStyle w:val="BodyText"/>
      </w:pPr>
      <w:r w:rsidRPr="00695A59">
        <w:t>Individuals must be able to demonstrate knowledge of:</w:t>
      </w:r>
    </w:p>
    <w:p w:rsidR="00000000" w:rsidRPr="00695A59" w:rsidP="00695A59">
      <w:pPr>
        <w:pStyle w:val="ListBullet"/>
      </w:pPr>
      <w:r w:rsidRPr="00695A59">
        <w:t xml:space="preserve">key aspects of work health and safety (WHS), occupational health and safety (OHS) and environmental </w:t>
      </w:r>
      <w:r w:rsidRPr="00695A59">
        <w:t>requirements, including:</w:t>
      </w:r>
    </w:p>
    <w:p w:rsidR="00000000" w:rsidRPr="00695A59" w:rsidP="00695A59">
      <w:pPr>
        <w:pStyle w:val="ListBullet2"/>
      </w:pPr>
      <w:r w:rsidRPr="00695A59">
        <w:t>use of safety glasses, ear protection and safety footwear</w:t>
      </w:r>
    </w:p>
    <w:p w:rsidR="00000000" w:rsidRPr="00695A59" w:rsidP="00695A59">
      <w:pPr>
        <w:pStyle w:val="ListBullet2"/>
      </w:pPr>
      <w:r w:rsidRPr="00695A59">
        <w:t>use of engine lifting equipment</w:t>
      </w:r>
    </w:p>
    <w:p w:rsidR="00000000" w:rsidRPr="00695A59" w:rsidP="00695A59">
      <w:pPr>
        <w:pStyle w:val="ListBullet2"/>
      </w:pPr>
      <w:r w:rsidRPr="00695A59">
        <w:t>collection and disposal of used engine lubricants and coolant</w:t>
      </w:r>
    </w:p>
    <w:p w:rsidR="00000000" w:rsidRPr="00695A59" w:rsidP="00695A59">
      <w:pPr>
        <w:pStyle w:val="ListBullet"/>
      </w:pPr>
      <w:r w:rsidRPr="00695A59">
        <w:t>types, application and basic operation of engines, including:</w:t>
      </w:r>
    </w:p>
    <w:p w:rsidR="00000000" w:rsidRPr="00695A59" w:rsidP="00695A59">
      <w:pPr>
        <w:pStyle w:val="ListBullet2"/>
      </w:pPr>
      <w:r w:rsidRPr="00695A59">
        <w:t>multi-cylinder</w:t>
      </w:r>
      <w:r w:rsidRPr="00695A59">
        <w:t xml:space="preserve"> configurations</w:t>
      </w:r>
    </w:p>
    <w:p w:rsidR="00000000" w:rsidRPr="00695A59" w:rsidP="00695A59">
      <w:pPr>
        <w:pStyle w:val="ListBullet2"/>
      </w:pPr>
      <w:r w:rsidRPr="00695A59">
        <w:t>petrol and diesel classifications</w:t>
      </w:r>
    </w:p>
    <w:p w:rsidR="00000000" w:rsidRPr="00695A59" w:rsidP="00695A59">
      <w:pPr>
        <w:pStyle w:val="ListBullet2"/>
      </w:pPr>
      <w:r w:rsidRPr="00695A59">
        <w:t>engine lubrication requirements, including types and classifications of engine lubricants</w:t>
      </w:r>
    </w:p>
    <w:p w:rsidR="00000000" w:rsidRPr="00695A59" w:rsidP="00695A59">
      <w:pPr>
        <w:pStyle w:val="ListBullet"/>
      </w:pPr>
      <w:r w:rsidRPr="00695A59">
        <w:t>engine assembly removal procedures</w:t>
      </w:r>
    </w:p>
    <w:p w:rsidR="00000000" w:rsidRPr="00695A59" w:rsidP="00695A59">
      <w:pPr>
        <w:pStyle w:val="ListBullet"/>
      </w:pPr>
      <w:r w:rsidRPr="00695A59">
        <w:t>engine assembly and associated component inspection procedures, including proced</w:t>
      </w:r>
      <w:r w:rsidRPr="00695A59">
        <w:t>ures for inspecting:</w:t>
      </w:r>
    </w:p>
    <w:p w:rsidR="00000000" w:rsidRPr="00695A59" w:rsidP="00695A59">
      <w:pPr>
        <w:pStyle w:val="ListBullet2"/>
      </w:pPr>
      <w:r w:rsidRPr="00695A59">
        <w:t>cooling system components</w:t>
      </w:r>
    </w:p>
    <w:p w:rsidR="00000000" w:rsidRPr="00695A59" w:rsidP="00695A59">
      <w:pPr>
        <w:pStyle w:val="ListBullet2"/>
      </w:pPr>
      <w:r w:rsidRPr="00695A59">
        <w:t>electrical system components</w:t>
      </w:r>
    </w:p>
    <w:p w:rsidR="00000000" w:rsidRPr="00695A59" w:rsidP="00695A59">
      <w:pPr>
        <w:pStyle w:val="ListBullet2"/>
      </w:pPr>
      <w:r w:rsidRPr="00695A59">
        <w:t>exhaust system components</w:t>
      </w:r>
    </w:p>
    <w:p w:rsidR="00000000" w:rsidRPr="00695A59" w:rsidP="00695A59">
      <w:pPr>
        <w:pStyle w:val="ListBullet2"/>
      </w:pPr>
      <w:r w:rsidRPr="00695A59">
        <w:t>fuel system components</w:t>
      </w:r>
    </w:p>
    <w:p w:rsidR="00000000" w:rsidRPr="00695A59" w:rsidP="00695A59">
      <w:pPr>
        <w:pStyle w:val="ListBullet"/>
      </w:pPr>
      <w:r w:rsidRPr="00695A59">
        <w:t>engine assembly replacement procedures, including pre-startup checks and post-startup checks</w:t>
      </w:r>
    </w:p>
    <w:p w:rsidR="00000000" w:rsidRPr="00695A59" w:rsidP="00695A59">
      <w:pPr>
        <w:pStyle w:val="ListBullet"/>
      </w:pPr>
      <w:r w:rsidRPr="00695A59">
        <w:t>work area clean-up and maintenance requirements.</w:t>
      </w:r>
    </w:p>
    <w:p w:rsidR="00000000" w:rsidRPr="00695A59" w:rsidP="00695A59">
      <w:pPr>
        <w:pStyle w:val="AllowPageBreak"/>
      </w:pPr>
    </w:p>
    <w:p w:rsidR="00000000" w:rsidRPr="00695A59" w:rsidP="00695A59">
      <w:pPr>
        <w:pStyle w:val="Heading1"/>
      </w:pPr>
      <w:bookmarkStart w:id="4" w:name="O_660194"/>
      <w:bookmarkEnd w:id="4"/>
      <w:r w:rsidRPr="00695A59">
        <w:t>Assessment Conditions</w:t>
      </w:r>
    </w:p>
    <w:p w:rsidR="00000000" w:rsidRPr="00695A59" w:rsidP="00071607">
      <w:pPr>
        <w:pStyle w:val="BodyText"/>
      </w:pPr>
      <w:r w:rsidRPr="00695A59">
        <w:t>Assessors must satisfy SNR/AQTF assessor requirements.</w:t>
      </w:r>
    </w:p>
    <w:p w:rsidR="00000000" w:rsidRPr="00695A59" w:rsidP="00071607">
      <w:pPr>
        <w:pStyle w:val="BodyText"/>
      </w:pPr>
      <w:r w:rsidRPr="00695A59">
        <w:t xml:space="preserve">Competency is to be assessed in the workplace or a simulated environment that accurately reflects performance in </w:t>
      </w:r>
      <w:r w:rsidRPr="00695A59">
        <w:t>a real workplace setting.</w:t>
      </w:r>
    </w:p>
    <w:p w:rsidR="00000000" w:rsidRPr="00695A59" w:rsidP="00071607">
      <w:pPr>
        <w:pStyle w:val="BodyText"/>
      </w:pPr>
      <w:r w:rsidRPr="00695A59">
        <w:t>Where assessment of competency includes third-party evidence, individuals must provide evidence that links them to the vehicles where they have removed and replaced the engine assembly, e.g. repair orders.</w:t>
      </w:r>
    </w:p>
    <w:p w:rsidR="00000000" w:rsidRPr="00695A59" w:rsidP="00071607">
      <w:pPr>
        <w:pStyle w:val="BodyText"/>
      </w:pPr>
      <w:r w:rsidRPr="00695A59">
        <w:t>Assessors must verify pe</w:t>
      </w:r>
      <w:r w:rsidRPr="00695A59">
        <w:t>rformance evidence through questioning on skills and knowledge to ensure correct interpretation and application.</w:t>
      </w:r>
    </w:p>
    <w:p w:rsidR="00000000" w:rsidRPr="00695A59" w:rsidP="00071607">
      <w:pPr>
        <w:pStyle w:val="BodyText"/>
      </w:pPr>
      <w:r w:rsidRPr="00695A59">
        <w:t>The following resources must be made available:</w:t>
      </w:r>
    </w:p>
    <w:p w:rsidR="00000000" w:rsidRPr="00695A59" w:rsidP="00695A59">
      <w:pPr>
        <w:pStyle w:val="ListBullet"/>
      </w:pPr>
      <w:r w:rsidRPr="00695A59">
        <w:t>automotive workplace or simulated workplace</w:t>
      </w:r>
    </w:p>
    <w:p w:rsidR="00000000" w:rsidRPr="00695A59" w:rsidP="00695A59">
      <w:pPr>
        <w:pStyle w:val="ListBullet"/>
      </w:pPr>
      <w:r w:rsidRPr="00695A59">
        <w:t>personal protective equipment appropriate to the w</w:t>
      </w:r>
      <w:r w:rsidRPr="00695A59">
        <w:t>orkplace</w:t>
      </w:r>
    </w:p>
    <w:p w:rsidR="00000000" w:rsidRPr="00695A59" w:rsidP="00695A59">
      <w:pPr>
        <w:pStyle w:val="ListBullet"/>
      </w:pPr>
      <w:r w:rsidRPr="00695A59">
        <w:t>an operable vehicle with rear wheel drive</w:t>
      </w:r>
    </w:p>
    <w:p w:rsidR="00000000" w:rsidRPr="00695A59" w:rsidP="00695A59">
      <w:pPr>
        <w:pStyle w:val="ListBullet"/>
      </w:pPr>
      <w:r w:rsidRPr="00695A59">
        <w:t>automotive tools, engine assembly lifting equipment and attachments</w:t>
      </w:r>
    </w:p>
    <w:p w:rsidR="00000000" w:rsidRPr="00695A59" w:rsidP="00695A59">
      <w:pPr>
        <w:pStyle w:val="ListBullet"/>
      </w:pPr>
      <w:r w:rsidRPr="00695A59">
        <w:t>engine oil</w:t>
      </w:r>
    </w:p>
    <w:p w:rsidR="00000000" w:rsidRPr="00695A59" w:rsidP="00695A59">
      <w:pPr>
        <w:pStyle w:val="ListBullet"/>
      </w:pPr>
      <w:r w:rsidRPr="00695A59">
        <w:t>engine coolant.</w:t>
      </w:r>
    </w:p>
    <w:p w:rsidR="00000000" w:rsidRPr="00695A59" w:rsidP="00695A59">
      <w:pPr>
        <w:pStyle w:val="AllowPageBreak"/>
      </w:pPr>
    </w:p>
    <w:p w:rsidR="00000000" w:rsidRPr="00695A59" w:rsidP="00695A59">
      <w:pPr>
        <w:pStyle w:val="Heading1"/>
      </w:pPr>
      <w:bookmarkStart w:id="5" w:name="O_660192"/>
      <w:bookmarkEnd w:id="5"/>
      <w:r w:rsidRPr="00695A59">
        <w:t>Links</w:t>
      </w:r>
    </w:p>
    <w:p w:rsidR="00000000" w:rsidRPr="00695A59" w:rsidP="00071607">
      <w:pPr>
        <w:pStyle w:val="BodyText"/>
      </w:pPr>
      <w:r w:rsidRPr="00695A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F524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95A59" w:rsidP="00071607">
      <w:pPr>
        <w:pStyle w:val="BodyText"/>
      </w:pPr>
      <w:r w:rsidRPr="00695A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F524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95A59" w:rsidP="00695A59"/>
    <w:sectPr w:rsidSect="00695A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A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A59" w:rsidRPr="00071607" w:rsidP="00071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A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07" w:rsidP="00695A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1607" w:rsidP="00695A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71607" w:rsidP="00695A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A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A59" w:rsidRPr="00071607" w:rsidP="00071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A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07" w:rsidRPr="002D2AF8" w:rsidP="00695A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AURTTE006 Remove and replace conventional engine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71607" w:rsidP="00695A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CE9F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6C0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50D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A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A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A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A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A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A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A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A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A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A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A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A59"/>
  </w:style>
  <w:style w:type="character" w:customStyle="1" w:styleId="Heading1Char">
    <w:name w:val="Heading 1 Char"/>
    <w:basedOn w:val="DefaultParagraphFont"/>
    <w:link w:val="Heading1"/>
    <w:rsid w:val="00695A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A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A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A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5A59"/>
    <w:rPr>
      <w:b/>
      <w:spacing w:val="0"/>
    </w:rPr>
  </w:style>
  <w:style w:type="paragraph" w:styleId="ListBullet2">
    <w:name w:val="List Bullet 2"/>
    <w:basedOn w:val="List2"/>
    <w:rsid w:val="00695A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5A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A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A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A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A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A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A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A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A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A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A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A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A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A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A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A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A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A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A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A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A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5A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A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A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A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A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A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A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A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A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5A59"/>
    <w:rPr>
      <w:i/>
    </w:rPr>
  </w:style>
  <w:style w:type="paragraph" w:styleId="Caption">
    <w:name w:val="caption"/>
    <w:basedOn w:val="BodyText"/>
    <w:next w:val="Normal"/>
    <w:qFormat/>
    <w:rsid w:val="00695A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A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A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A59"/>
  </w:style>
  <w:style w:type="paragraph" w:styleId="TableofFigures">
    <w:name w:val="table of figures"/>
    <w:basedOn w:val="Normal"/>
    <w:next w:val="Normal"/>
    <w:semiHidden/>
    <w:rsid w:val="00695A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A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5A59"/>
    <w:rPr>
      <w:rFonts w:ascii="Wingdings" w:hAnsi="Wingdings"/>
    </w:rPr>
  </w:style>
  <w:style w:type="paragraph" w:customStyle="1" w:styleId="TableHeading">
    <w:name w:val="Table Heading"/>
    <w:basedOn w:val="HeadingBase"/>
    <w:rsid w:val="00695A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A59"/>
    <w:rPr>
      <w:color w:val="0033CC"/>
      <w:u w:val="none"/>
    </w:rPr>
  </w:style>
  <w:style w:type="paragraph" w:customStyle="1" w:styleId="BodyTextRight">
    <w:name w:val="Body Text Right"/>
    <w:basedOn w:val="BodyText"/>
    <w:rsid w:val="00695A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A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A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A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A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A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A59"/>
    <w:rPr>
      <w:sz w:val="32"/>
    </w:rPr>
  </w:style>
  <w:style w:type="paragraph" w:customStyle="1" w:styleId="HeadingProcedure">
    <w:name w:val="Heading Procedure"/>
    <w:basedOn w:val="HeadingBase"/>
    <w:next w:val="Normal"/>
    <w:rsid w:val="00695A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A59"/>
    <w:pPr>
      <w:spacing w:before="60" w:after="60"/>
    </w:pPr>
  </w:style>
  <w:style w:type="paragraph" w:styleId="ListContinue">
    <w:name w:val="List Continue"/>
    <w:basedOn w:val="List"/>
    <w:rsid w:val="00695A59"/>
    <w:pPr>
      <w:ind w:firstLine="0"/>
    </w:pPr>
  </w:style>
  <w:style w:type="paragraph" w:customStyle="1" w:styleId="ListNote">
    <w:name w:val="List Note"/>
    <w:basedOn w:val="List"/>
    <w:rsid w:val="00695A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A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A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A59"/>
    <w:rPr>
      <w:rFonts w:ascii="Courier New" w:hAnsi="Courier New"/>
    </w:rPr>
  </w:style>
  <w:style w:type="paragraph" w:customStyle="1" w:styleId="NoteBullet">
    <w:name w:val="Note Bullet"/>
    <w:basedOn w:val="Note"/>
    <w:rsid w:val="00695A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A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A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A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A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5A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A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A59"/>
    <w:rPr>
      <w:b/>
      <w:smallCaps/>
    </w:rPr>
  </w:style>
  <w:style w:type="paragraph" w:customStyle="1" w:styleId="TableListNumber">
    <w:name w:val="Table List Number"/>
    <w:basedOn w:val="ListNumber"/>
    <w:rsid w:val="00695A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A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A59"/>
    <w:pPr>
      <w:numPr>
        <w:numId w:val="9"/>
      </w:numPr>
    </w:pPr>
  </w:style>
  <w:style w:type="paragraph" w:customStyle="1" w:styleId="ListAlpha2">
    <w:name w:val="List Alpha 2"/>
    <w:basedOn w:val="List2"/>
    <w:rsid w:val="00695A59"/>
    <w:pPr>
      <w:numPr>
        <w:numId w:val="8"/>
      </w:numPr>
    </w:pPr>
  </w:style>
  <w:style w:type="paragraph" w:styleId="List2">
    <w:name w:val="List 2"/>
    <w:basedOn w:val="BodyText"/>
    <w:rsid w:val="00695A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A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A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A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A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A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5A59"/>
    <w:pPr>
      <w:numPr>
        <w:numId w:val="4"/>
      </w:numPr>
    </w:pPr>
  </w:style>
  <w:style w:type="paragraph" w:styleId="ListContinue2">
    <w:name w:val="List Continue 2"/>
    <w:basedOn w:val="List2"/>
    <w:rsid w:val="00695A59"/>
    <w:pPr>
      <w:ind w:firstLine="0"/>
    </w:pPr>
  </w:style>
  <w:style w:type="paragraph" w:styleId="ListContinue3">
    <w:name w:val="List Continue 3"/>
    <w:basedOn w:val="List3"/>
    <w:rsid w:val="00695A59"/>
    <w:pPr>
      <w:ind w:left="1021" w:firstLine="0"/>
    </w:pPr>
  </w:style>
  <w:style w:type="paragraph" w:styleId="ListContinue4">
    <w:name w:val="List Continue 4"/>
    <w:basedOn w:val="List4"/>
    <w:rsid w:val="00695A59"/>
    <w:pPr>
      <w:ind w:firstLine="0"/>
    </w:pPr>
  </w:style>
  <w:style w:type="paragraph" w:styleId="ListContinue5">
    <w:name w:val="List Continue 5"/>
    <w:basedOn w:val="List5"/>
    <w:rsid w:val="00695A59"/>
    <w:pPr>
      <w:ind w:firstLine="0"/>
    </w:pPr>
  </w:style>
  <w:style w:type="paragraph" w:styleId="ListNumber3">
    <w:name w:val="List Number 3"/>
    <w:basedOn w:val="List3"/>
    <w:rsid w:val="00695A59"/>
    <w:pPr>
      <w:numPr>
        <w:numId w:val="5"/>
      </w:numPr>
    </w:pPr>
  </w:style>
  <w:style w:type="paragraph" w:styleId="ListNumber4">
    <w:name w:val="List Number 4"/>
    <w:basedOn w:val="List4"/>
    <w:rsid w:val="00695A59"/>
    <w:pPr>
      <w:numPr>
        <w:numId w:val="6"/>
      </w:numPr>
    </w:pPr>
  </w:style>
  <w:style w:type="paragraph" w:styleId="ListNumber5">
    <w:name w:val="List Number 5"/>
    <w:basedOn w:val="List5"/>
    <w:rsid w:val="00695A59"/>
    <w:pPr>
      <w:numPr>
        <w:numId w:val="7"/>
      </w:numPr>
    </w:pPr>
  </w:style>
  <w:style w:type="paragraph" w:styleId="BlockText">
    <w:name w:val="Block Text"/>
    <w:basedOn w:val="Normal"/>
    <w:rsid w:val="00695A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A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A59"/>
    <w:rPr>
      <w:sz w:val="16"/>
      <w:vertAlign w:val="superscript"/>
    </w:rPr>
  </w:style>
  <w:style w:type="character" w:customStyle="1" w:styleId="Symbols">
    <w:name w:val="Symbols"/>
    <w:basedOn w:val="DefaultParagraphFont"/>
    <w:rsid w:val="00695A59"/>
    <w:rPr>
      <w:rFonts w:ascii="Symbol" w:hAnsi="Symbol"/>
    </w:rPr>
  </w:style>
  <w:style w:type="character" w:customStyle="1" w:styleId="MenuOptions">
    <w:name w:val="Menu Options"/>
    <w:basedOn w:val="DefaultParagraphFont"/>
    <w:rsid w:val="00695A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A59"/>
    <w:rPr>
      <w:b/>
    </w:rPr>
  </w:style>
  <w:style w:type="character" w:customStyle="1" w:styleId="Underlined">
    <w:name w:val="Underlined"/>
    <w:basedOn w:val="DefaultParagraphFont"/>
    <w:rsid w:val="00695A59"/>
    <w:rPr>
      <w:u w:val="single"/>
    </w:rPr>
  </w:style>
  <w:style w:type="paragraph" w:customStyle="1" w:styleId="TableBodyTextRight">
    <w:name w:val="Table Body Text Right"/>
    <w:basedOn w:val="TableBodyText"/>
    <w:rsid w:val="00695A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A59"/>
    <w:rPr>
      <w:sz w:val="18"/>
    </w:rPr>
  </w:style>
  <w:style w:type="paragraph" w:customStyle="1" w:styleId="BodySmallRight">
    <w:name w:val="Body Small Right"/>
    <w:basedOn w:val="BodyTextRight"/>
    <w:rsid w:val="00695A59"/>
    <w:rPr>
      <w:sz w:val="18"/>
      <w:szCs w:val="18"/>
    </w:rPr>
  </w:style>
  <w:style w:type="paragraph" w:customStyle="1" w:styleId="MarginEdition">
    <w:name w:val="Margin Edition"/>
    <w:basedOn w:val="MarginNote"/>
    <w:rsid w:val="00695A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A59"/>
    <w:rPr>
      <w:sz w:val="2"/>
      <w:szCs w:val="2"/>
    </w:rPr>
  </w:style>
  <w:style w:type="character" w:customStyle="1" w:styleId="Small">
    <w:name w:val="Small"/>
    <w:basedOn w:val="DefaultParagraphFont"/>
    <w:rsid w:val="00695A59"/>
    <w:rPr>
      <w:sz w:val="16"/>
    </w:rPr>
  </w:style>
  <w:style w:type="paragraph" w:customStyle="1" w:styleId="WideTable">
    <w:name w:val="Wide Table"/>
    <w:basedOn w:val="Normal"/>
    <w:rsid w:val="00695A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A59"/>
  </w:style>
  <w:style w:type="paragraph" w:styleId="Quote">
    <w:name w:val="Quote"/>
    <w:basedOn w:val="Heading1"/>
    <w:link w:val="QuoteChar"/>
    <w:qFormat/>
    <w:rsid w:val="00695A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A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A59"/>
    <w:pPr>
      <w:pageBreakBefore/>
    </w:pPr>
  </w:style>
  <w:style w:type="paragraph" w:customStyle="1" w:styleId="Border">
    <w:name w:val="Border"/>
    <w:basedOn w:val="Normal"/>
    <w:qFormat/>
    <w:rsid w:val="00695A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A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A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A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A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A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A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A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A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A59"/>
    <w:rPr>
      <w:u w:val="single"/>
    </w:rPr>
  </w:style>
  <w:style w:type="character" w:customStyle="1" w:styleId="BoldandItalics">
    <w:name w:val="Bold and Italics"/>
    <w:qFormat/>
    <w:rsid w:val="00695A59"/>
    <w:rPr>
      <w:b/>
      <w:i/>
      <w:u w:val="none"/>
    </w:rPr>
  </w:style>
  <w:style w:type="paragraph" w:styleId="BalloonText">
    <w:name w:val="Balloon Text"/>
    <w:basedOn w:val="Normal"/>
    <w:link w:val="BalloonTextChar"/>
    <w:rsid w:val="00695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A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A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A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A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A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A59"/>
    <w:pPr>
      <w:spacing w:before="0" w:after="0"/>
    </w:pPr>
  </w:style>
  <w:style w:type="paragraph" w:customStyle="1" w:styleId="BodyTextBold">
    <w:name w:val="Body Text Bold"/>
    <w:basedOn w:val="BodyText"/>
    <w:qFormat/>
    <w:rsid w:val="00695A59"/>
    <w:rPr>
      <w:b/>
    </w:rPr>
  </w:style>
  <w:style w:type="character" w:styleId="Hyperlink">
    <w:name w:val="Hyperlink"/>
    <w:basedOn w:val="DefaultParagraphFont"/>
    <w:uiPriority w:val="99"/>
    <w:unhideWhenUsed/>
    <w:rsid w:val="00071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2605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AURTTE006 Remove and replace conventional engine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