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55F" w:rsidP="00E92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AURTTE005 Overhaul engines</w:t>
      </w:r>
      <w:r>
        <w:fldChar w:fldCharType="end"/>
      </w:r>
    </w:p>
    <w:p w:rsidR="00E9255F" w:rsidP="00E9255F">
      <w:pPr>
        <w:pStyle w:val="Version"/>
        <w:sectPr w:rsidSect="00E41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262" w:rsidP="00E41262">
      <w:pPr>
        <w:pStyle w:val="SuperHeading"/>
      </w:pPr>
      <w:r w:rsidRPr="00E41262">
        <w:t>Assessment Requirements for AURTTE005 Overhaul engines</w:t>
      </w:r>
    </w:p>
    <w:p w:rsidR="00000000" w:rsidRPr="00E41262" w:rsidP="00E41262">
      <w:pPr>
        <w:pStyle w:val="Heading1"/>
      </w:pPr>
      <w:bookmarkStart w:id="1" w:name="O_773248"/>
      <w:bookmarkEnd w:id="1"/>
      <w:r w:rsidRPr="00E4126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25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262" w:rsidP="00E41262">
            <w:pPr>
              <w:pStyle w:val="BodyText"/>
            </w:pPr>
            <w:r w:rsidRPr="00E4126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262">
            <w:pPr>
              <w:pStyle w:val="BodyText"/>
              <w:rPr>
                <w:lang w:val="en-NZ"/>
              </w:rPr>
            </w:pPr>
            <w:r w:rsidRPr="00E41262">
              <w:rPr>
                <w:rStyle w:val="SpecialBold"/>
              </w:rPr>
              <w:t>Comment</w:t>
            </w:r>
          </w:p>
        </w:tc>
      </w:tr>
      <w:tr w:rsidTr="00E925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262">
            <w:pPr>
              <w:pStyle w:val="BodyText"/>
              <w:rPr>
                <w:lang w:val="en-NZ"/>
              </w:rPr>
            </w:pPr>
            <w:r w:rsidRPr="00E4126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262" w:rsidP="00E41262">
            <w:pPr>
              <w:pStyle w:val="BodyText"/>
            </w:pPr>
            <w:r w:rsidRPr="00E41262">
              <w:t>New unit of competency.</w:t>
            </w:r>
          </w:p>
        </w:tc>
      </w:tr>
    </w:tbl>
    <w:p w:rsidR="00000000" w:rsidRPr="00E41262" w:rsidP="00E41262">
      <w:pPr>
        <w:pStyle w:val="BodyText"/>
      </w:pPr>
    </w:p>
    <w:p w:rsidR="00000000" w:rsidRPr="00E41262" w:rsidP="00E41262">
      <w:pPr>
        <w:pStyle w:val="AllowPageBreak"/>
      </w:pPr>
    </w:p>
    <w:p w:rsidR="00000000" w:rsidRPr="00E41262" w:rsidP="00E41262">
      <w:pPr>
        <w:pStyle w:val="Heading1"/>
      </w:pPr>
      <w:bookmarkStart w:id="2" w:name="O_773249"/>
      <w:bookmarkEnd w:id="2"/>
      <w:r w:rsidRPr="00E41262">
        <w:t>Performance Evidence</w:t>
      </w:r>
    </w:p>
    <w:p w:rsidR="00000000" w:rsidRPr="00E41262" w:rsidP="00E9255F">
      <w:pPr>
        <w:pStyle w:val="BodyText"/>
      </w:pPr>
      <w:r w:rsidRPr="00E41262">
        <w:t>Before competency can be determined, individuals must demonstrate they can perform the following according to the standards defi</w:t>
      </w:r>
      <w:r w:rsidRPr="00E41262">
        <w:t>ned in this unit’s elements, performance criteria, range of conditions and foundation skills:</w:t>
      </w:r>
    </w:p>
    <w:p w:rsidR="00000000" w:rsidRPr="00E41262" w:rsidP="00E41262">
      <w:pPr>
        <w:pStyle w:val="ListBullet"/>
      </w:pPr>
      <w:r w:rsidRPr="00E41262">
        <w:t>overhaul two different multi-cylinder engines, including one engine with cylinder sleeves.</w:t>
      </w:r>
    </w:p>
    <w:p w:rsidR="00000000" w:rsidRPr="00E41262" w:rsidP="00E41262">
      <w:pPr>
        <w:pStyle w:val="AllowPageBreak"/>
      </w:pPr>
    </w:p>
    <w:p w:rsidR="00000000" w:rsidRPr="00E41262" w:rsidP="00E41262">
      <w:pPr>
        <w:pStyle w:val="Heading1"/>
      </w:pPr>
      <w:bookmarkStart w:id="3" w:name="O_773250"/>
      <w:bookmarkEnd w:id="3"/>
      <w:r w:rsidRPr="00E41262">
        <w:t>Knowledge Evidence</w:t>
      </w:r>
    </w:p>
    <w:p w:rsidR="00000000" w:rsidRPr="00E41262" w:rsidP="00E9255F">
      <w:pPr>
        <w:pStyle w:val="BodyText"/>
      </w:pPr>
      <w:r w:rsidRPr="00E41262">
        <w:t>Individuals must be able to demonstrate knowledge of:</w:t>
      </w:r>
    </w:p>
    <w:p w:rsidR="00000000" w:rsidRPr="00E41262" w:rsidP="00E41262">
      <w:pPr>
        <w:pStyle w:val="ListBullet"/>
      </w:pPr>
      <w:r w:rsidRPr="00E41262">
        <w:t>work health and safety (WHS) and occupational health and safety (OHS) requirements relating to overhauling engines and associated components, including procedures for:</w:t>
      </w:r>
    </w:p>
    <w:p w:rsidR="00000000" w:rsidRPr="00E41262" w:rsidP="00E41262">
      <w:pPr>
        <w:pStyle w:val="ListBullet2"/>
      </w:pPr>
      <w:r w:rsidRPr="00E41262">
        <w:t>using personal protective equipm</w:t>
      </w:r>
      <w:r w:rsidRPr="00E41262">
        <w:t>ent (PPE) when handling engines and using chemical cleaning agents</w:t>
      </w:r>
    </w:p>
    <w:p w:rsidR="00000000" w:rsidRPr="00E41262" w:rsidP="00E41262">
      <w:pPr>
        <w:pStyle w:val="ListBullet2"/>
      </w:pPr>
      <w:r w:rsidRPr="00E41262">
        <w:t>using slings, chains and other lifting equipment and machinery</w:t>
      </w:r>
    </w:p>
    <w:p w:rsidR="00000000" w:rsidRPr="00E41262" w:rsidP="00E41262">
      <w:pPr>
        <w:pStyle w:val="ListBullet2"/>
      </w:pPr>
      <w:r w:rsidRPr="00E41262">
        <w:t>using specialised equipment, including heating torches, ovens and presses</w:t>
      </w:r>
    </w:p>
    <w:p w:rsidR="00000000" w:rsidRPr="00E41262" w:rsidP="00E41262">
      <w:pPr>
        <w:pStyle w:val="ListBullet2"/>
      </w:pPr>
      <w:r w:rsidRPr="00E41262">
        <w:t>handling freezing substances, including liquid nitro</w:t>
      </w:r>
      <w:r w:rsidRPr="00E41262">
        <w:t>gen</w:t>
      </w:r>
    </w:p>
    <w:p w:rsidR="00000000" w:rsidRPr="00E41262" w:rsidP="00E41262">
      <w:pPr>
        <w:pStyle w:val="ListBullet"/>
      </w:pPr>
      <w:r w:rsidRPr="00E41262">
        <w:t>environmental requirements, including procedures for trapping, storing and disposing of fluids released from engines</w:t>
      </w:r>
    </w:p>
    <w:p w:rsidR="00000000" w:rsidRPr="00E41262" w:rsidP="00E41262">
      <w:pPr>
        <w:pStyle w:val="ListBullet"/>
      </w:pPr>
      <w:r w:rsidRPr="00E41262">
        <w:t>types, characteristics and operating principles of engines and associated engine components</w:t>
      </w:r>
    </w:p>
    <w:p w:rsidR="00000000" w:rsidRPr="00E41262" w:rsidP="00E41262">
      <w:pPr>
        <w:pStyle w:val="ListBullet"/>
      </w:pPr>
      <w:r w:rsidRPr="00E41262">
        <w:t>engine overhaul procedures, including:</w:t>
      </w:r>
    </w:p>
    <w:p w:rsidR="00000000" w:rsidRPr="00E41262" w:rsidP="00E41262">
      <w:pPr>
        <w:pStyle w:val="ListBullet2"/>
      </w:pPr>
      <w:r w:rsidRPr="00E41262">
        <w:t>me</w:t>
      </w:r>
      <w:r w:rsidRPr="00E41262">
        <w:t>thods for cleaning and preparing engine for overhaul</w:t>
      </w:r>
    </w:p>
    <w:p w:rsidR="00000000" w:rsidRPr="00E41262" w:rsidP="00E41262">
      <w:pPr>
        <w:pStyle w:val="ListBullet2"/>
      </w:pPr>
      <w:r w:rsidRPr="00E41262">
        <w:t>engine dismantling procedures</w:t>
      </w:r>
    </w:p>
    <w:p w:rsidR="00000000" w:rsidRPr="00E41262" w:rsidP="00E41262">
      <w:pPr>
        <w:pStyle w:val="ListBullet2"/>
      </w:pPr>
      <w:r w:rsidRPr="00E41262">
        <w:t>engine and engine component inspection, measuring and evaluation procedures, including:</w:t>
      </w:r>
    </w:p>
    <w:p w:rsidR="00000000" w:rsidRPr="00E41262" w:rsidP="00E41262">
      <w:pPr>
        <w:pStyle w:val="ListBullet3"/>
      </w:pPr>
      <w:r w:rsidRPr="00E41262">
        <w:t>non-destructive testing procedures, including dye penetrant testing and magnetic particle testing</w:t>
      </w:r>
    </w:p>
    <w:p w:rsidR="00000000" w:rsidRPr="00E41262" w:rsidP="00E41262">
      <w:pPr>
        <w:pStyle w:val="ListBullet3"/>
      </w:pPr>
      <w:r w:rsidRPr="00E41262">
        <w:t>methods for measuring and calculating tolerances and clearances</w:t>
      </w:r>
    </w:p>
    <w:p w:rsidR="00000000" w:rsidRPr="00E41262" w:rsidP="00E41262">
      <w:pPr>
        <w:pStyle w:val="ListBullet2"/>
      </w:pPr>
      <w:r w:rsidRPr="00E41262">
        <w:t>engine and engine component repair and adjustment procedures, including:</w:t>
      </w:r>
    </w:p>
    <w:p w:rsidR="00000000" w:rsidRPr="00E41262" w:rsidP="00E41262">
      <w:pPr>
        <w:pStyle w:val="ListBullet3"/>
      </w:pPr>
      <w:r w:rsidRPr="00E41262">
        <w:t>engine cylinder hea</w:t>
      </w:r>
      <w:r w:rsidRPr="00E41262">
        <w:t>d and block machining</w:t>
      </w:r>
    </w:p>
    <w:p w:rsidR="00000000" w:rsidRPr="00E41262" w:rsidP="00E41262">
      <w:pPr>
        <w:pStyle w:val="ListBullet3"/>
      </w:pPr>
      <w:r w:rsidRPr="00E41262">
        <w:t>engine crankshaft and camshaft grinding</w:t>
      </w:r>
    </w:p>
    <w:p w:rsidR="00000000" w:rsidRPr="00E41262" w:rsidP="00E41262">
      <w:pPr>
        <w:pStyle w:val="ListBullet3"/>
      </w:pPr>
      <w:r w:rsidRPr="00E41262">
        <w:t>engine cylinder and engine sleeve fitting, boring and honing</w:t>
      </w:r>
    </w:p>
    <w:p w:rsidR="00000000" w:rsidRPr="00E41262" w:rsidP="00E41262">
      <w:pPr>
        <w:pStyle w:val="ListBullet3"/>
      </w:pPr>
      <w:r w:rsidRPr="00E41262">
        <w:t>engine bearing tunnel and connecting rod repair</w:t>
      </w:r>
    </w:p>
    <w:p w:rsidR="00000000" w:rsidRPr="00E41262" w:rsidP="00E41262">
      <w:pPr>
        <w:pStyle w:val="ListBullet3"/>
      </w:pPr>
      <w:r w:rsidRPr="00E41262">
        <w:t>engine component heat treating, straightening and reclamation</w:t>
      </w:r>
    </w:p>
    <w:p w:rsidR="00000000" w:rsidRPr="00E41262" w:rsidP="00E41262">
      <w:pPr>
        <w:pStyle w:val="ListBullet3"/>
      </w:pPr>
      <w:r w:rsidRPr="00E41262">
        <w:t>engine component balanc</w:t>
      </w:r>
      <w:r w:rsidRPr="00E41262">
        <w:t>ing</w:t>
      </w:r>
    </w:p>
    <w:p w:rsidR="00000000" w:rsidRPr="00E41262" w:rsidP="00E41262">
      <w:pPr>
        <w:pStyle w:val="ListBullet2"/>
      </w:pPr>
      <w:r w:rsidRPr="00E41262">
        <w:t>engine assembly procedures, including procedures for tolerance measuring and calculating and adjusting components, including:</w:t>
      </w:r>
    </w:p>
    <w:p w:rsidR="00000000" w:rsidRPr="00E41262" w:rsidP="00E41262">
      <w:pPr>
        <w:pStyle w:val="ListBullet3"/>
      </w:pPr>
      <w:r w:rsidRPr="00E41262">
        <w:t>piston to connecting rod big-end alignment</w:t>
      </w:r>
    </w:p>
    <w:p w:rsidR="00000000" w:rsidRPr="00E41262" w:rsidP="00E41262">
      <w:pPr>
        <w:pStyle w:val="ListBullet3"/>
      </w:pPr>
      <w:r w:rsidRPr="00E41262">
        <w:t>big-end bearing to crankshaft journal clearance</w:t>
      </w:r>
    </w:p>
    <w:p w:rsidR="00000000" w:rsidRPr="00E41262" w:rsidP="00E41262">
      <w:pPr>
        <w:pStyle w:val="ListBullet3"/>
      </w:pPr>
      <w:r w:rsidRPr="00E41262">
        <w:t>big-end bearing crush with bearin</w:t>
      </w:r>
      <w:r w:rsidRPr="00E41262">
        <w:t>g blue</w:t>
      </w:r>
    </w:p>
    <w:p w:rsidR="00000000" w:rsidRPr="00E41262" w:rsidP="00E41262">
      <w:pPr>
        <w:pStyle w:val="ListBullet3"/>
      </w:pPr>
      <w:r w:rsidRPr="00E41262">
        <w:t>piston ring end gap, back clearance and side clearance</w:t>
      </w:r>
    </w:p>
    <w:p w:rsidR="00000000" w:rsidRPr="00E41262" w:rsidP="00E41262">
      <w:pPr>
        <w:pStyle w:val="ListBullet3"/>
      </w:pPr>
      <w:r w:rsidRPr="00E41262">
        <w:t>main bearing to crankshaft journal clearance</w:t>
      </w:r>
    </w:p>
    <w:p w:rsidR="00000000" w:rsidRPr="00E41262" w:rsidP="00E41262">
      <w:pPr>
        <w:pStyle w:val="ListBullet3"/>
      </w:pPr>
      <w:r w:rsidRPr="00E41262">
        <w:t>main bearing crush with bearing blue</w:t>
      </w:r>
    </w:p>
    <w:p w:rsidR="00000000" w:rsidRPr="00E41262" w:rsidP="00E41262">
      <w:pPr>
        <w:pStyle w:val="ListBullet3"/>
      </w:pPr>
      <w:r w:rsidRPr="00E41262">
        <w:t>semi-flanged thrust bearings to crankshaft clearance</w:t>
      </w:r>
    </w:p>
    <w:p w:rsidR="00000000" w:rsidRPr="00E41262" w:rsidP="00E41262">
      <w:pPr>
        <w:pStyle w:val="ListBullet3"/>
      </w:pPr>
      <w:r w:rsidRPr="00E41262">
        <w:t>finished camshaft bearings to camshaft clearance</w:t>
      </w:r>
    </w:p>
    <w:p w:rsidR="00000000" w:rsidRPr="00E41262" w:rsidP="00E41262">
      <w:pPr>
        <w:pStyle w:val="ListBullet3"/>
      </w:pPr>
      <w:r w:rsidRPr="00E41262">
        <w:t>camshafts and cam followers</w:t>
      </w:r>
    </w:p>
    <w:p w:rsidR="00000000" w:rsidRPr="00E41262" w:rsidP="00E41262">
      <w:pPr>
        <w:pStyle w:val="ListBullet3"/>
      </w:pPr>
      <w:r w:rsidRPr="00E41262">
        <w:t>camshaft end float</w:t>
      </w:r>
    </w:p>
    <w:p w:rsidR="00000000" w:rsidRPr="00E41262" w:rsidP="00E41262">
      <w:pPr>
        <w:pStyle w:val="ListBullet3"/>
      </w:pPr>
      <w:r w:rsidRPr="00E41262">
        <w:t>crankshaft end float</w:t>
      </w:r>
    </w:p>
    <w:p w:rsidR="00000000" w:rsidRPr="00E41262" w:rsidP="00E41262">
      <w:pPr>
        <w:pStyle w:val="ListBullet3"/>
      </w:pPr>
      <w:r w:rsidRPr="00E41262">
        <w:t>gear backlash</w:t>
      </w:r>
    </w:p>
    <w:p w:rsidR="00000000" w:rsidRPr="00E41262" w:rsidP="00E41262">
      <w:pPr>
        <w:pStyle w:val="ListBullet3"/>
      </w:pPr>
      <w:r w:rsidRPr="00E41262">
        <w:t>oil pump sealing and pick-up oil piping</w:t>
      </w:r>
    </w:p>
    <w:p w:rsidR="00000000" w:rsidRPr="00E41262" w:rsidP="00E41262">
      <w:pPr>
        <w:pStyle w:val="ListBullet2"/>
      </w:pPr>
      <w:r w:rsidRPr="00E41262">
        <w:t>component assembly procedures and processes, including:</w:t>
      </w:r>
    </w:p>
    <w:p w:rsidR="00000000" w:rsidRPr="00E41262" w:rsidP="00E41262">
      <w:pPr>
        <w:pStyle w:val="ListBullet3"/>
      </w:pPr>
      <w:r w:rsidRPr="00E41262">
        <w:t>welsh plugs and oil gallery plugs</w:t>
      </w:r>
    </w:p>
    <w:p w:rsidR="00000000" w:rsidRPr="00E41262" w:rsidP="00E41262">
      <w:pPr>
        <w:pStyle w:val="ListBullet3"/>
      </w:pPr>
      <w:r w:rsidRPr="00E41262">
        <w:t>piston and connecting rod assemblies</w:t>
      </w:r>
    </w:p>
    <w:p w:rsidR="00000000" w:rsidRPr="00E41262" w:rsidP="00E41262">
      <w:pPr>
        <w:pStyle w:val="ListBullet3"/>
      </w:pPr>
      <w:r w:rsidRPr="00E41262">
        <w:t>big-e</w:t>
      </w:r>
      <w:r w:rsidRPr="00E41262">
        <w:t>nd bearings</w:t>
      </w:r>
    </w:p>
    <w:p w:rsidR="00000000" w:rsidRPr="00E41262" w:rsidP="00E41262">
      <w:pPr>
        <w:pStyle w:val="ListBullet3"/>
      </w:pPr>
      <w:r w:rsidRPr="00E41262">
        <w:t>piston rings to pistons</w:t>
      </w:r>
    </w:p>
    <w:p w:rsidR="00000000" w:rsidRPr="00E41262" w:rsidP="00E41262">
      <w:pPr>
        <w:pStyle w:val="ListBullet3"/>
      </w:pPr>
      <w:r w:rsidRPr="00E41262">
        <w:t>main bearings and thrust washers</w:t>
      </w:r>
    </w:p>
    <w:p w:rsidR="00000000" w:rsidRPr="00E41262" w:rsidP="00E41262">
      <w:pPr>
        <w:pStyle w:val="ListBullet3"/>
      </w:pPr>
      <w:r w:rsidRPr="00E41262">
        <w:t>semi-flanged thrust bearings</w:t>
      </w:r>
    </w:p>
    <w:p w:rsidR="00000000" w:rsidRPr="00E41262" w:rsidP="00E41262">
      <w:pPr>
        <w:pStyle w:val="ListBullet3"/>
      </w:pPr>
      <w:r w:rsidRPr="00E41262">
        <w:t>crankshafts, including protection measures for crankshaft journals, bearings, rings and bores</w:t>
      </w:r>
    </w:p>
    <w:p w:rsidR="00000000" w:rsidRPr="00E41262" w:rsidP="00E41262">
      <w:pPr>
        <w:pStyle w:val="ListBullet3"/>
      </w:pPr>
      <w:r w:rsidRPr="00E41262">
        <w:t>finished camshaft bearings</w:t>
      </w:r>
    </w:p>
    <w:p w:rsidR="00000000" w:rsidRPr="00E41262" w:rsidP="00E41262">
      <w:pPr>
        <w:pStyle w:val="ListBullet3"/>
      </w:pPr>
      <w:r w:rsidRPr="00E41262">
        <w:t>camshafts and cam followers</w:t>
      </w:r>
    </w:p>
    <w:p w:rsidR="00000000" w:rsidRPr="00E41262" w:rsidP="00E41262">
      <w:pPr>
        <w:pStyle w:val="ListBullet3"/>
      </w:pPr>
      <w:r w:rsidRPr="00E41262">
        <w:t>timing gears</w:t>
      </w:r>
    </w:p>
    <w:p w:rsidR="00000000" w:rsidRPr="00E41262" w:rsidP="00E41262">
      <w:pPr>
        <w:pStyle w:val="ListBullet3"/>
      </w:pPr>
      <w:r w:rsidRPr="00E41262">
        <w:t>chains and tensioners</w:t>
      </w:r>
    </w:p>
    <w:p w:rsidR="00000000" w:rsidRPr="00E41262" w:rsidP="00E41262">
      <w:pPr>
        <w:pStyle w:val="ListBullet3"/>
      </w:pPr>
      <w:r w:rsidRPr="00E41262">
        <w:t>oil pumps, oil squirters and oil pump pick-ups</w:t>
      </w:r>
    </w:p>
    <w:p w:rsidR="00000000" w:rsidRPr="00E41262" w:rsidP="00E41262">
      <w:pPr>
        <w:pStyle w:val="ListBullet3"/>
      </w:pPr>
      <w:r w:rsidRPr="00E41262">
        <w:t>balance shafts</w:t>
      </w:r>
    </w:p>
    <w:p w:rsidR="00000000" w:rsidRPr="00E41262" w:rsidP="00E41262">
      <w:pPr>
        <w:pStyle w:val="ListBullet3"/>
      </w:pPr>
      <w:r w:rsidRPr="00E41262">
        <w:t>fitting ancillary components, including covers and seals, housings, diesel fuel injection pumps, oil coolers, crankshaft pulleys, flywheels and bell housings</w:t>
      </w:r>
    </w:p>
    <w:p w:rsidR="00000000" w:rsidRPr="00E41262" w:rsidP="00E41262">
      <w:pPr>
        <w:pStyle w:val="ListBullet"/>
      </w:pPr>
      <w:r w:rsidRPr="00E41262">
        <w:t>post-overhaul testing procedures for engines.</w:t>
      </w:r>
    </w:p>
    <w:p w:rsidR="00000000" w:rsidRPr="00E41262" w:rsidP="00E41262">
      <w:pPr>
        <w:pStyle w:val="AllowPageBreak"/>
      </w:pPr>
    </w:p>
    <w:p w:rsidR="00000000" w:rsidRPr="00E41262" w:rsidP="00E41262">
      <w:pPr>
        <w:pStyle w:val="Heading1"/>
      </w:pPr>
      <w:bookmarkStart w:id="4" w:name="O_773251"/>
      <w:bookmarkEnd w:id="4"/>
      <w:r w:rsidRPr="00E41262">
        <w:t>Assessment Conditions</w:t>
      </w:r>
    </w:p>
    <w:p w:rsidR="00000000" w:rsidRPr="00E41262" w:rsidP="00E9255F">
      <w:pPr>
        <w:pStyle w:val="BodyText"/>
      </w:pPr>
      <w:r w:rsidRPr="00E41262">
        <w:t>Assessors must satisfy NVR/AQTF assessor requirements.</w:t>
      </w:r>
    </w:p>
    <w:p w:rsidR="00000000" w:rsidRPr="00E41262" w:rsidP="00E9255F">
      <w:pPr>
        <w:pStyle w:val="BodyText"/>
      </w:pPr>
      <w:r w:rsidRPr="00E41262">
        <w:t>Competency is to be assessed in the workplace or a simulated environment that accurately reflects performance in a real workplace setting.</w:t>
      </w:r>
    </w:p>
    <w:p w:rsidR="00000000" w:rsidRPr="00E41262" w:rsidP="00E9255F">
      <w:pPr>
        <w:pStyle w:val="BodyText"/>
      </w:pPr>
      <w:r w:rsidRPr="00E41262">
        <w:t>Assessment must include direct observation of tasks.</w:t>
      </w:r>
    </w:p>
    <w:p w:rsidR="00000000" w:rsidRPr="00E41262" w:rsidP="00E9255F">
      <w:pPr>
        <w:pStyle w:val="BodyText"/>
      </w:pPr>
      <w:r w:rsidRPr="00E41262">
        <w:t xml:space="preserve">Where assessment of competency includes third-party evidence, </w:t>
      </w:r>
      <w:r w:rsidRPr="00E41262">
        <w:t>individuals must provide evidence that links them to the engines that they have worked on, e.g. repair orders.</w:t>
      </w:r>
    </w:p>
    <w:p w:rsidR="00000000" w:rsidRPr="00E41262" w:rsidP="00E9255F">
      <w:pPr>
        <w:pStyle w:val="BodyText"/>
      </w:pPr>
      <w:r w:rsidRPr="00E41262">
        <w:t>Assessors must verify performance evidence through questioning on skills and knowledge to ensure correct interpretation and application.</w:t>
      </w:r>
    </w:p>
    <w:p w:rsidR="00000000" w:rsidRPr="00E41262" w:rsidP="00E9255F">
      <w:pPr>
        <w:pStyle w:val="BodyText"/>
      </w:pPr>
      <w:r w:rsidRPr="00E41262">
        <w:t>The fo</w:t>
      </w:r>
      <w:r w:rsidRPr="00E41262">
        <w:t>llowing resources must be made available:</w:t>
      </w:r>
    </w:p>
    <w:p w:rsidR="00000000" w:rsidRPr="00E41262" w:rsidP="00E41262">
      <w:pPr>
        <w:pStyle w:val="ListBullet"/>
      </w:pPr>
      <w:r w:rsidRPr="00E41262">
        <w:t>mechanical repair workplace or simulated workplace</w:t>
      </w:r>
    </w:p>
    <w:p w:rsidR="00000000" w:rsidRPr="00E41262" w:rsidP="00E41262">
      <w:pPr>
        <w:pStyle w:val="ListBullet"/>
      </w:pPr>
      <w:r w:rsidRPr="00E41262">
        <w:t>workplace instructions</w:t>
      </w:r>
    </w:p>
    <w:p w:rsidR="00000000" w:rsidRPr="00E41262" w:rsidP="00E41262">
      <w:pPr>
        <w:pStyle w:val="ListBullet"/>
      </w:pPr>
      <w:r w:rsidRPr="00E41262">
        <w:t>manufacturer engine specifications</w:t>
      </w:r>
    </w:p>
    <w:p w:rsidR="00000000" w:rsidRPr="00E41262" w:rsidP="00E41262">
      <w:pPr>
        <w:pStyle w:val="ListBullet"/>
      </w:pPr>
      <w:r w:rsidRPr="00E41262">
        <w:t xml:space="preserve">two different multi-cylinder engines requiring overhaul, including an engine with cylinder sleeves </w:t>
      </w:r>
    </w:p>
    <w:p w:rsidR="00000000" w:rsidRPr="00E41262" w:rsidP="00E41262">
      <w:pPr>
        <w:pStyle w:val="ListBullet"/>
      </w:pPr>
      <w:r w:rsidRPr="00E41262">
        <w:t>tool</w:t>
      </w:r>
      <w:r w:rsidRPr="00E41262">
        <w:t>s, equipment and materials appropriate for overhauling and adjusting engines.</w:t>
      </w:r>
    </w:p>
    <w:p w:rsidR="00000000" w:rsidRPr="00E41262" w:rsidP="00E41262">
      <w:pPr>
        <w:pStyle w:val="AllowPageBreak"/>
      </w:pPr>
    </w:p>
    <w:p w:rsidR="00000000" w:rsidRPr="00E41262" w:rsidP="00E41262">
      <w:pPr>
        <w:pStyle w:val="Heading1"/>
      </w:pPr>
      <w:bookmarkStart w:id="5" w:name="O_773254"/>
      <w:bookmarkEnd w:id="5"/>
      <w:r w:rsidRPr="00E41262">
        <w:t>Links</w:t>
      </w:r>
    </w:p>
    <w:p w:rsidR="00000000" w:rsidRPr="00E41262" w:rsidP="00E9255F">
      <w:pPr>
        <w:pStyle w:val="BodyText"/>
      </w:pPr>
      <w:r w:rsidRPr="00E41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4D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1262" w:rsidP="00E9255F">
      <w:pPr>
        <w:pStyle w:val="BodyText"/>
      </w:pPr>
      <w:r w:rsidRPr="00E41262">
        <w:t>Companion</w:t>
      </w:r>
      <w:r w:rsidRPr="00E4126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4D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1262" w:rsidP="00E41262"/>
    <w:sectPr w:rsidSect="00E41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62" w:rsidRPr="00E9255F" w:rsidP="00E92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5F" w:rsidP="00E41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55F" w:rsidP="00E41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255F" w:rsidP="00E41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262" w:rsidRPr="00E9255F" w:rsidP="00E92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5F" w:rsidRPr="002D2AF8" w:rsidP="00E41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AURTTE005 Overhaul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9255F" w:rsidP="00E41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763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41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CE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262"/>
  </w:style>
  <w:style w:type="character" w:customStyle="1" w:styleId="Heading1Char">
    <w:name w:val="Heading 1 Char"/>
    <w:basedOn w:val="DefaultParagraphFont"/>
    <w:link w:val="Heading1"/>
    <w:rsid w:val="00E41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2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262"/>
    <w:rPr>
      <w:b/>
      <w:spacing w:val="0"/>
    </w:rPr>
  </w:style>
  <w:style w:type="paragraph" w:styleId="ListBullet2">
    <w:name w:val="List Bullet 2"/>
    <w:basedOn w:val="List2"/>
    <w:rsid w:val="00E412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1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12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1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262"/>
    <w:rPr>
      <w:i/>
    </w:rPr>
  </w:style>
  <w:style w:type="paragraph" w:styleId="Caption">
    <w:name w:val="caption"/>
    <w:basedOn w:val="BodyText"/>
    <w:next w:val="Normal"/>
    <w:qFormat/>
    <w:rsid w:val="00E41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262"/>
  </w:style>
  <w:style w:type="paragraph" w:styleId="TableofFigures">
    <w:name w:val="table of figures"/>
    <w:basedOn w:val="Normal"/>
    <w:next w:val="Normal"/>
    <w:semiHidden/>
    <w:rsid w:val="00E41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2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1262"/>
    <w:rPr>
      <w:rFonts w:ascii="Wingdings" w:hAnsi="Wingdings"/>
    </w:rPr>
  </w:style>
  <w:style w:type="paragraph" w:customStyle="1" w:styleId="TableHeading">
    <w:name w:val="Table Heading"/>
    <w:basedOn w:val="HeadingBase"/>
    <w:rsid w:val="00E41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262"/>
    <w:rPr>
      <w:color w:val="0033CC"/>
      <w:u w:val="none"/>
    </w:rPr>
  </w:style>
  <w:style w:type="paragraph" w:customStyle="1" w:styleId="BodyTextRight">
    <w:name w:val="Body Text Right"/>
    <w:basedOn w:val="BodyText"/>
    <w:rsid w:val="00E41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2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262"/>
    <w:rPr>
      <w:sz w:val="32"/>
    </w:rPr>
  </w:style>
  <w:style w:type="paragraph" w:customStyle="1" w:styleId="HeadingProcedure">
    <w:name w:val="Heading Procedure"/>
    <w:basedOn w:val="HeadingBase"/>
    <w:next w:val="Normal"/>
    <w:rsid w:val="00E41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262"/>
    <w:pPr>
      <w:spacing w:before="60" w:after="60"/>
    </w:pPr>
  </w:style>
  <w:style w:type="paragraph" w:styleId="ListContinue">
    <w:name w:val="List Continue"/>
    <w:basedOn w:val="List"/>
    <w:rsid w:val="00E41262"/>
    <w:pPr>
      <w:ind w:firstLine="0"/>
    </w:pPr>
  </w:style>
  <w:style w:type="paragraph" w:customStyle="1" w:styleId="ListNote">
    <w:name w:val="List Note"/>
    <w:basedOn w:val="List"/>
    <w:rsid w:val="00E41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262"/>
    <w:rPr>
      <w:rFonts w:ascii="Courier New" w:hAnsi="Courier New"/>
    </w:rPr>
  </w:style>
  <w:style w:type="paragraph" w:customStyle="1" w:styleId="NoteBullet">
    <w:name w:val="Note Bullet"/>
    <w:basedOn w:val="Note"/>
    <w:rsid w:val="00E41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2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1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262"/>
    <w:rPr>
      <w:b/>
      <w:smallCaps/>
    </w:rPr>
  </w:style>
  <w:style w:type="paragraph" w:customStyle="1" w:styleId="TableListNumber">
    <w:name w:val="Table List Number"/>
    <w:basedOn w:val="ListNumber"/>
    <w:rsid w:val="00E41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262"/>
    <w:pPr>
      <w:numPr>
        <w:numId w:val="10"/>
      </w:numPr>
    </w:pPr>
  </w:style>
  <w:style w:type="paragraph" w:customStyle="1" w:styleId="ListAlpha2">
    <w:name w:val="List Alpha 2"/>
    <w:basedOn w:val="List2"/>
    <w:rsid w:val="00E41262"/>
    <w:pPr>
      <w:numPr>
        <w:numId w:val="9"/>
      </w:numPr>
    </w:pPr>
  </w:style>
  <w:style w:type="paragraph" w:styleId="List2">
    <w:name w:val="List 2"/>
    <w:basedOn w:val="BodyText"/>
    <w:rsid w:val="00E41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2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12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1262"/>
    <w:pPr>
      <w:numPr>
        <w:numId w:val="5"/>
      </w:numPr>
    </w:pPr>
  </w:style>
  <w:style w:type="paragraph" w:styleId="ListContinue2">
    <w:name w:val="List Continue 2"/>
    <w:basedOn w:val="List2"/>
    <w:rsid w:val="00E41262"/>
    <w:pPr>
      <w:ind w:firstLine="0"/>
    </w:pPr>
  </w:style>
  <w:style w:type="paragraph" w:styleId="ListContinue3">
    <w:name w:val="List Continue 3"/>
    <w:basedOn w:val="List3"/>
    <w:rsid w:val="00E41262"/>
    <w:pPr>
      <w:ind w:left="1021" w:firstLine="0"/>
    </w:pPr>
  </w:style>
  <w:style w:type="paragraph" w:styleId="ListContinue4">
    <w:name w:val="List Continue 4"/>
    <w:basedOn w:val="List4"/>
    <w:rsid w:val="00E41262"/>
    <w:pPr>
      <w:ind w:firstLine="0"/>
    </w:pPr>
  </w:style>
  <w:style w:type="paragraph" w:styleId="ListContinue5">
    <w:name w:val="List Continue 5"/>
    <w:basedOn w:val="List5"/>
    <w:rsid w:val="00E41262"/>
    <w:pPr>
      <w:ind w:firstLine="0"/>
    </w:pPr>
  </w:style>
  <w:style w:type="paragraph" w:styleId="ListNumber3">
    <w:name w:val="List Number 3"/>
    <w:basedOn w:val="List3"/>
    <w:rsid w:val="00E41262"/>
    <w:pPr>
      <w:numPr>
        <w:numId w:val="6"/>
      </w:numPr>
    </w:pPr>
  </w:style>
  <w:style w:type="paragraph" w:styleId="ListNumber4">
    <w:name w:val="List Number 4"/>
    <w:basedOn w:val="List4"/>
    <w:rsid w:val="00E41262"/>
    <w:pPr>
      <w:numPr>
        <w:numId w:val="7"/>
      </w:numPr>
    </w:pPr>
  </w:style>
  <w:style w:type="paragraph" w:styleId="ListNumber5">
    <w:name w:val="List Number 5"/>
    <w:basedOn w:val="List5"/>
    <w:rsid w:val="00E41262"/>
    <w:pPr>
      <w:numPr>
        <w:numId w:val="8"/>
      </w:numPr>
    </w:pPr>
  </w:style>
  <w:style w:type="paragraph" w:styleId="BlockText">
    <w:name w:val="Block Text"/>
    <w:basedOn w:val="Normal"/>
    <w:rsid w:val="00E41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262"/>
    <w:rPr>
      <w:sz w:val="16"/>
      <w:vertAlign w:val="superscript"/>
    </w:rPr>
  </w:style>
  <w:style w:type="character" w:customStyle="1" w:styleId="Symbols">
    <w:name w:val="Symbols"/>
    <w:basedOn w:val="DefaultParagraphFont"/>
    <w:rsid w:val="00E41262"/>
    <w:rPr>
      <w:rFonts w:ascii="Symbol" w:hAnsi="Symbol"/>
    </w:rPr>
  </w:style>
  <w:style w:type="character" w:customStyle="1" w:styleId="MenuOptions">
    <w:name w:val="Menu Options"/>
    <w:basedOn w:val="DefaultParagraphFont"/>
    <w:rsid w:val="00E41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262"/>
    <w:rPr>
      <w:b/>
    </w:rPr>
  </w:style>
  <w:style w:type="character" w:customStyle="1" w:styleId="Underlined">
    <w:name w:val="Underlined"/>
    <w:basedOn w:val="DefaultParagraphFont"/>
    <w:rsid w:val="00E41262"/>
    <w:rPr>
      <w:u w:val="single"/>
    </w:rPr>
  </w:style>
  <w:style w:type="paragraph" w:customStyle="1" w:styleId="TableBodyTextRight">
    <w:name w:val="Table Body Text Right"/>
    <w:basedOn w:val="TableBodyText"/>
    <w:rsid w:val="00E41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262"/>
    <w:rPr>
      <w:sz w:val="18"/>
    </w:rPr>
  </w:style>
  <w:style w:type="paragraph" w:customStyle="1" w:styleId="BodySmallRight">
    <w:name w:val="Body Small Right"/>
    <w:basedOn w:val="BodyTextRight"/>
    <w:rsid w:val="00E41262"/>
    <w:rPr>
      <w:sz w:val="18"/>
      <w:szCs w:val="18"/>
    </w:rPr>
  </w:style>
  <w:style w:type="paragraph" w:customStyle="1" w:styleId="MarginEdition">
    <w:name w:val="Margin Edition"/>
    <w:basedOn w:val="MarginNote"/>
    <w:rsid w:val="00E41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262"/>
    <w:rPr>
      <w:sz w:val="2"/>
      <w:szCs w:val="2"/>
    </w:rPr>
  </w:style>
  <w:style w:type="character" w:customStyle="1" w:styleId="Small">
    <w:name w:val="Small"/>
    <w:basedOn w:val="DefaultParagraphFont"/>
    <w:rsid w:val="00E41262"/>
    <w:rPr>
      <w:sz w:val="16"/>
    </w:rPr>
  </w:style>
  <w:style w:type="paragraph" w:customStyle="1" w:styleId="WideTable">
    <w:name w:val="Wide Table"/>
    <w:basedOn w:val="Normal"/>
    <w:rsid w:val="00E41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262"/>
  </w:style>
  <w:style w:type="paragraph" w:styleId="Quote">
    <w:name w:val="Quote"/>
    <w:basedOn w:val="Heading1"/>
    <w:link w:val="QuoteChar"/>
    <w:qFormat/>
    <w:rsid w:val="00E41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262"/>
    <w:pPr>
      <w:pageBreakBefore/>
    </w:pPr>
  </w:style>
  <w:style w:type="paragraph" w:customStyle="1" w:styleId="Border">
    <w:name w:val="Border"/>
    <w:basedOn w:val="Normal"/>
    <w:qFormat/>
    <w:rsid w:val="00E41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262"/>
    <w:rPr>
      <w:u w:val="single"/>
    </w:rPr>
  </w:style>
  <w:style w:type="character" w:customStyle="1" w:styleId="BoldandItalics">
    <w:name w:val="Bold and Italics"/>
    <w:qFormat/>
    <w:rsid w:val="00E41262"/>
    <w:rPr>
      <w:b/>
      <w:i/>
      <w:u w:val="none"/>
    </w:rPr>
  </w:style>
  <w:style w:type="paragraph" w:styleId="BalloonText">
    <w:name w:val="Balloon Text"/>
    <w:basedOn w:val="Normal"/>
    <w:link w:val="BalloonTextChar"/>
    <w:rsid w:val="00E41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262"/>
    <w:pPr>
      <w:spacing w:before="0" w:after="0"/>
    </w:pPr>
  </w:style>
  <w:style w:type="paragraph" w:customStyle="1" w:styleId="BodyTextBold">
    <w:name w:val="Body Text Bold"/>
    <w:basedOn w:val="BodyText"/>
    <w:qFormat/>
    <w:rsid w:val="00E41262"/>
    <w:rPr>
      <w:b/>
    </w:rPr>
  </w:style>
  <w:style w:type="character" w:styleId="Hyperlink">
    <w:name w:val="Hyperlink"/>
    <w:basedOn w:val="DefaultParagraphFont"/>
    <w:uiPriority w:val="99"/>
    <w:unhideWhenUsed/>
    <w:rsid w:val="00E92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4197</Characters>
  <Application>Microsoft Office Word</Application>
  <DocSecurity>0</DocSecurity>
  <Lines>113</Lines>
  <Paragraphs>92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AURTTE005 Overhaul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2022-06-23T06:42:00Z</dcterms:created>
  <dcterms:modified xsi:type="dcterms:W3CDTF">2022-06-23T06:42:00Z</dcterms:modified>
</cp:coreProperties>
</file>