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6CB" w:rsidP="006F3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AURTTE004 Inspect and service engines</w:t>
      </w:r>
      <w:r>
        <w:fldChar w:fldCharType="end"/>
      </w:r>
    </w:p>
    <w:p w:rsidR="006F36CB" w:rsidP="006F36CB">
      <w:pPr>
        <w:pStyle w:val="Version"/>
        <w:sectPr w:rsidSect="00DF7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D16" w:rsidP="00DF7D16">
      <w:pPr>
        <w:pStyle w:val="SuperHeading"/>
      </w:pPr>
      <w:r w:rsidRPr="00DF7D16">
        <w:t>Assessment Requirements for AURTTE004 Inspect and service engines</w:t>
      </w:r>
    </w:p>
    <w:p w:rsidR="00000000" w:rsidRPr="00DF7D16" w:rsidP="00DF7D16">
      <w:pPr>
        <w:pStyle w:val="Heading1"/>
      </w:pPr>
      <w:bookmarkStart w:id="1" w:name="O_776252"/>
      <w:bookmarkEnd w:id="1"/>
      <w:r w:rsidRPr="00DF7D1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F36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D16" w:rsidP="00DF7D16">
            <w:pPr>
              <w:pStyle w:val="BodyText"/>
            </w:pPr>
            <w:r w:rsidRPr="00DF7D1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D16">
            <w:pPr>
              <w:pStyle w:val="BodyText"/>
              <w:rPr>
                <w:lang w:val="en-NZ"/>
              </w:rPr>
            </w:pPr>
            <w:r w:rsidRPr="00DF7D16">
              <w:rPr>
                <w:rStyle w:val="SpecialBold"/>
              </w:rPr>
              <w:t>Comment</w:t>
            </w:r>
          </w:p>
        </w:tc>
      </w:tr>
      <w:tr w:rsidTr="006F36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D16">
            <w:pPr>
              <w:pStyle w:val="BodyText"/>
              <w:rPr>
                <w:lang w:val="en-NZ"/>
              </w:rPr>
            </w:pPr>
            <w:r w:rsidRPr="00DF7D1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D16" w:rsidP="00DF7D16">
            <w:pPr>
              <w:pStyle w:val="BodyText"/>
            </w:pPr>
            <w:r w:rsidRPr="00DF7D16">
              <w:t>New unit of competency.</w:t>
            </w:r>
          </w:p>
        </w:tc>
      </w:tr>
    </w:tbl>
    <w:p w:rsidR="00000000" w:rsidRPr="00DF7D16" w:rsidP="00DF7D16">
      <w:pPr>
        <w:pStyle w:val="BodyText"/>
      </w:pPr>
    </w:p>
    <w:p w:rsidR="00000000" w:rsidRPr="00DF7D16" w:rsidP="00DF7D16">
      <w:pPr>
        <w:pStyle w:val="AllowPageBreak"/>
      </w:pPr>
    </w:p>
    <w:p w:rsidR="00000000" w:rsidRPr="00DF7D16" w:rsidP="00DF7D16">
      <w:pPr>
        <w:pStyle w:val="Heading1"/>
      </w:pPr>
      <w:bookmarkStart w:id="2" w:name="O_776253"/>
      <w:bookmarkEnd w:id="2"/>
      <w:r w:rsidRPr="00DF7D16">
        <w:t>Performance Evidence</w:t>
      </w:r>
    </w:p>
    <w:p w:rsidR="00000000" w:rsidRPr="00DF7D16" w:rsidP="006F36CB">
      <w:pPr>
        <w:pStyle w:val="BodyText"/>
      </w:pPr>
      <w:r w:rsidRPr="00DF7D16">
        <w:t>Before competency can be determined, in</w:t>
      </w:r>
      <w:r w:rsidRPr="00DF7D16">
        <w:t>dividuals must demonstrate they can perform the following according to the standards defined in this unit’s elements, performance criteria, range of conditions and foundation skills:</w:t>
      </w:r>
    </w:p>
    <w:p w:rsidR="00000000" w:rsidRPr="00DF7D16" w:rsidP="00DF7D16">
      <w:pPr>
        <w:pStyle w:val="ListBullet"/>
      </w:pPr>
      <w:r w:rsidRPr="00DF7D16">
        <w:t xml:space="preserve">inspect and service the engines of two different vehicles or machinery, </w:t>
      </w:r>
      <w:r w:rsidRPr="00DF7D16">
        <w:t>including replacing the engine oil and filters.</w:t>
      </w:r>
    </w:p>
    <w:p w:rsidR="00000000" w:rsidRPr="00DF7D16" w:rsidP="00DF7D16">
      <w:pPr>
        <w:pStyle w:val="AllowPageBreak"/>
      </w:pPr>
    </w:p>
    <w:p w:rsidR="00000000" w:rsidRPr="00DF7D16" w:rsidP="00DF7D16">
      <w:pPr>
        <w:pStyle w:val="Heading1"/>
      </w:pPr>
      <w:bookmarkStart w:id="3" w:name="O_776254"/>
      <w:bookmarkEnd w:id="3"/>
      <w:r w:rsidRPr="00DF7D16">
        <w:t>Knowledge Evidence</w:t>
      </w:r>
    </w:p>
    <w:p w:rsidR="00000000" w:rsidRPr="00DF7D16" w:rsidP="006F36CB">
      <w:pPr>
        <w:pStyle w:val="BodyText"/>
      </w:pPr>
      <w:r w:rsidRPr="00DF7D16">
        <w:t>Individuals must be able to demonstrate knowledge of:</w:t>
      </w:r>
    </w:p>
    <w:p w:rsidR="00000000" w:rsidRPr="00DF7D16" w:rsidP="00DF7D16">
      <w:pPr>
        <w:pStyle w:val="ListBullet"/>
      </w:pPr>
      <w:r w:rsidRPr="00DF7D16">
        <w:t xml:space="preserve">work health and safety (WHS) and occupational health and safety (OHS) requirements relating </w:t>
      </w:r>
      <w:r w:rsidRPr="00DF7D16">
        <w:t>to inspecting and servicing engines, including procedures for working with:</w:t>
      </w:r>
    </w:p>
    <w:p w:rsidR="00000000" w:rsidRPr="00DF7D16" w:rsidP="00DF7D16">
      <w:pPr>
        <w:pStyle w:val="ListBullet2"/>
      </w:pPr>
      <w:r w:rsidRPr="00DF7D16">
        <w:t>rotating and hot components</w:t>
      </w:r>
    </w:p>
    <w:p w:rsidR="00000000" w:rsidRPr="00DF7D16" w:rsidP="00DF7D16">
      <w:pPr>
        <w:pStyle w:val="ListBullet2"/>
      </w:pPr>
      <w:r w:rsidRPr="00DF7D16">
        <w:t>engine oils</w:t>
      </w:r>
    </w:p>
    <w:p w:rsidR="00000000" w:rsidRPr="00DF7D16" w:rsidP="00DF7D16">
      <w:pPr>
        <w:pStyle w:val="ListBullet2"/>
      </w:pPr>
      <w:r w:rsidRPr="00DF7D16">
        <w:t>high energy ignition and charging systems</w:t>
      </w:r>
    </w:p>
    <w:p w:rsidR="00000000" w:rsidRPr="00DF7D16" w:rsidP="00DF7D16">
      <w:pPr>
        <w:pStyle w:val="ListBullet"/>
      </w:pPr>
      <w:r w:rsidRPr="00DF7D16">
        <w:t>environmental requirements, including procedures for trapping, storing and disposing of fluids r</w:t>
      </w:r>
      <w:r w:rsidRPr="00DF7D16">
        <w:t>eleased from engines</w:t>
      </w:r>
    </w:p>
    <w:p w:rsidR="00000000" w:rsidRPr="00DF7D16" w:rsidP="00DF7D16">
      <w:pPr>
        <w:pStyle w:val="ListBullet"/>
      </w:pPr>
      <w:r w:rsidRPr="00DF7D16">
        <w:t>identification and function of major engine components, including:</w:t>
      </w:r>
    </w:p>
    <w:p w:rsidR="00000000" w:rsidRPr="00DF7D16" w:rsidP="00DF7D16">
      <w:pPr>
        <w:pStyle w:val="ListBullet2"/>
      </w:pPr>
      <w:r w:rsidRPr="00DF7D16">
        <w:t>cylinder block and head</w:t>
      </w:r>
    </w:p>
    <w:p w:rsidR="00000000" w:rsidRPr="00DF7D16" w:rsidP="00DF7D16">
      <w:pPr>
        <w:pStyle w:val="ListBullet2"/>
      </w:pPr>
      <w:r w:rsidRPr="00DF7D16">
        <w:t>piston and connecting rod</w:t>
      </w:r>
    </w:p>
    <w:p w:rsidR="00000000" w:rsidRPr="00DF7D16" w:rsidP="00DF7D16">
      <w:pPr>
        <w:pStyle w:val="ListBullet2"/>
      </w:pPr>
      <w:r w:rsidRPr="00DF7D16">
        <w:t>crankshaft</w:t>
      </w:r>
    </w:p>
    <w:p w:rsidR="00000000" w:rsidRPr="00DF7D16" w:rsidP="00DF7D16">
      <w:pPr>
        <w:pStyle w:val="ListBullet2"/>
      </w:pPr>
      <w:r w:rsidRPr="00DF7D16">
        <w:t>valve train</w:t>
      </w:r>
    </w:p>
    <w:p w:rsidR="00000000" w:rsidRPr="00DF7D16" w:rsidP="00DF7D16">
      <w:pPr>
        <w:pStyle w:val="ListBullet2"/>
      </w:pPr>
      <w:r w:rsidRPr="00DF7D16">
        <w:t>manifolds</w:t>
      </w:r>
    </w:p>
    <w:p w:rsidR="00000000" w:rsidRPr="00DF7D16" w:rsidP="00DF7D16">
      <w:pPr>
        <w:pStyle w:val="ListBullet2"/>
      </w:pPr>
      <w:r w:rsidRPr="00DF7D16">
        <w:t>ports and reed valve</w:t>
      </w:r>
    </w:p>
    <w:p w:rsidR="00000000" w:rsidRPr="00DF7D16" w:rsidP="00DF7D16">
      <w:pPr>
        <w:pStyle w:val="ListBullet"/>
      </w:pPr>
      <w:r w:rsidRPr="00DF7D16">
        <w:t>identification and function of engine systems, including:</w:t>
      </w:r>
    </w:p>
    <w:p w:rsidR="00000000" w:rsidRPr="00DF7D16" w:rsidP="00DF7D16">
      <w:pPr>
        <w:pStyle w:val="ListBullet2"/>
      </w:pPr>
      <w:r w:rsidRPr="00DF7D16">
        <w:t>lubrication</w:t>
      </w:r>
    </w:p>
    <w:p w:rsidR="00000000" w:rsidRPr="00DF7D16" w:rsidP="00DF7D16">
      <w:pPr>
        <w:pStyle w:val="ListBullet2"/>
      </w:pPr>
      <w:r w:rsidRPr="00DF7D16">
        <w:t>cooling system</w:t>
      </w:r>
    </w:p>
    <w:p w:rsidR="00000000" w:rsidRPr="00DF7D16" w:rsidP="00DF7D16">
      <w:pPr>
        <w:pStyle w:val="ListBullet2"/>
      </w:pPr>
      <w:r w:rsidRPr="00DF7D16">
        <w:t>fuel system</w:t>
      </w:r>
    </w:p>
    <w:p w:rsidR="00000000" w:rsidRPr="00DF7D16" w:rsidP="00DF7D16">
      <w:pPr>
        <w:pStyle w:val="ListBullet2"/>
      </w:pPr>
      <w:r w:rsidRPr="00DF7D16">
        <w:t>air system</w:t>
      </w:r>
    </w:p>
    <w:p w:rsidR="00000000" w:rsidRPr="00DF7D16" w:rsidP="00DF7D16">
      <w:pPr>
        <w:pStyle w:val="ListBullet"/>
      </w:pPr>
      <w:r w:rsidRPr="00DF7D16">
        <w:t>basic operation of spark ignition engines and compression ignition engines, including:</w:t>
      </w:r>
    </w:p>
    <w:p w:rsidR="00000000" w:rsidRPr="00DF7D16" w:rsidP="00DF7D16">
      <w:pPr>
        <w:pStyle w:val="ListBullet2"/>
      </w:pPr>
      <w:r w:rsidRPr="00DF7D16">
        <w:t>two-stroke spark ignition engines</w:t>
      </w:r>
    </w:p>
    <w:p w:rsidR="00000000" w:rsidRPr="00DF7D16" w:rsidP="00DF7D16">
      <w:pPr>
        <w:pStyle w:val="ListBullet2"/>
      </w:pPr>
      <w:r w:rsidRPr="00DF7D16">
        <w:t>four-stroke spark ignition engines</w:t>
      </w:r>
    </w:p>
    <w:p w:rsidR="00000000" w:rsidRPr="00DF7D16" w:rsidP="00DF7D16">
      <w:pPr>
        <w:pStyle w:val="ListBullet2"/>
      </w:pPr>
      <w:r w:rsidRPr="00DF7D16">
        <w:t>four-stroke compression ignition engines</w:t>
      </w:r>
    </w:p>
    <w:p w:rsidR="00000000" w:rsidRPr="00DF7D16" w:rsidP="00DF7D16">
      <w:pPr>
        <w:pStyle w:val="ListBullet"/>
      </w:pPr>
      <w:r w:rsidRPr="00DF7D16">
        <w:t xml:space="preserve">types </w:t>
      </w:r>
      <w:r w:rsidRPr="00DF7D16">
        <w:t>and applications of engine configurations, including:</w:t>
      </w:r>
    </w:p>
    <w:p w:rsidR="00000000" w:rsidRPr="00DF7D16" w:rsidP="00DF7D16">
      <w:pPr>
        <w:pStyle w:val="ListBullet2"/>
      </w:pPr>
      <w:r w:rsidRPr="00DF7D16">
        <w:t>two-stroke spark ignition engines</w:t>
      </w:r>
    </w:p>
    <w:p w:rsidR="00000000" w:rsidRPr="00DF7D16" w:rsidP="00DF7D16">
      <w:pPr>
        <w:pStyle w:val="ListBullet2"/>
      </w:pPr>
      <w:r w:rsidRPr="00DF7D16">
        <w:t>four-stroke spark ignition engines</w:t>
      </w:r>
    </w:p>
    <w:p w:rsidR="00000000" w:rsidRPr="00DF7D16" w:rsidP="00DF7D16">
      <w:pPr>
        <w:pStyle w:val="ListBullet2"/>
      </w:pPr>
      <w:r w:rsidRPr="00DF7D16">
        <w:t>four-stroke compression ignition engines</w:t>
      </w:r>
    </w:p>
    <w:p w:rsidR="00000000" w:rsidRPr="00DF7D16" w:rsidP="00DF7D16">
      <w:pPr>
        <w:pStyle w:val="ListBullet"/>
      </w:pPr>
      <w:r w:rsidRPr="00DF7D16">
        <w:t>types and applications of engine oils and filters</w:t>
      </w:r>
    </w:p>
    <w:p w:rsidR="00000000" w:rsidRPr="00DF7D16" w:rsidP="00DF7D16">
      <w:pPr>
        <w:pStyle w:val="ListBullet"/>
      </w:pPr>
      <w:r w:rsidRPr="00DF7D16">
        <w:t>inspection procedures for engines, including:</w:t>
      </w:r>
    </w:p>
    <w:p w:rsidR="00000000" w:rsidRPr="00DF7D16" w:rsidP="00DF7D16">
      <w:pPr>
        <w:pStyle w:val="ListBullet2"/>
      </w:pPr>
      <w:r w:rsidRPr="00DF7D16">
        <w:t>oil and fluid leaks</w:t>
      </w:r>
    </w:p>
    <w:p w:rsidR="00000000" w:rsidRPr="00DF7D16" w:rsidP="00DF7D16">
      <w:pPr>
        <w:pStyle w:val="ListBullet2"/>
      </w:pPr>
      <w:r w:rsidRPr="00DF7D16">
        <w:t>ancillary components, including:</w:t>
      </w:r>
    </w:p>
    <w:p w:rsidR="00000000" w:rsidRPr="00DF7D16" w:rsidP="00DF7D16">
      <w:pPr>
        <w:pStyle w:val="ListBullet3"/>
      </w:pPr>
      <w:r w:rsidRPr="00DF7D16">
        <w:t>mountings</w:t>
      </w:r>
    </w:p>
    <w:p w:rsidR="00000000" w:rsidRPr="00DF7D16" w:rsidP="00DF7D16">
      <w:pPr>
        <w:pStyle w:val="ListBullet3"/>
      </w:pPr>
      <w:r w:rsidRPr="00DF7D16">
        <w:t>belts, pulleys and hoses</w:t>
      </w:r>
    </w:p>
    <w:p w:rsidR="00000000" w:rsidRPr="00DF7D16" w:rsidP="00DF7D16">
      <w:pPr>
        <w:pStyle w:val="ListBullet"/>
      </w:pPr>
      <w:r w:rsidRPr="00DF7D16">
        <w:t>service and adjustment procedures for engines, including:</w:t>
      </w:r>
    </w:p>
    <w:p w:rsidR="00000000" w:rsidRPr="00DF7D16" w:rsidP="00DF7D16">
      <w:pPr>
        <w:pStyle w:val="ListBullet2"/>
      </w:pPr>
      <w:r w:rsidRPr="00DF7D16">
        <w:t>adjusting or replacing engine components</w:t>
      </w:r>
    </w:p>
    <w:p w:rsidR="00000000" w:rsidRPr="00DF7D16" w:rsidP="00DF7D16">
      <w:pPr>
        <w:pStyle w:val="ListBullet2"/>
      </w:pPr>
      <w:r w:rsidRPr="00DF7D16">
        <w:t>replacing oil</w:t>
      </w:r>
    </w:p>
    <w:p w:rsidR="00000000" w:rsidRPr="00DF7D16" w:rsidP="00DF7D16">
      <w:pPr>
        <w:pStyle w:val="ListBullet2"/>
      </w:pPr>
      <w:r w:rsidRPr="00DF7D16">
        <w:t>replacing filter</w:t>
      </w:r>
    </w:p>
    <w:p w:rsidR="00000000" w:rsidRPr="00DF7D16" w:rsidP="00DF7D16">
      <w:pPr>
        <w:pStyle w:val="ListBullet"/>
      </w:pPr>
      <w:r w:rsidRPr="00DF7D16">
        <w:t>post-service testing procedures for engines.</w:t>
      </w:r>
    </w:p>
    <w:p w:rsidR="00000000" w:rsidRPr="00DF7D16" w:rsidP="00DF7D16">
      <w:pPr>
        <w:pStyle w:val="AllowPageBreak"/>
      </w:pPr>
    </w:p>
    <w:p w:rsidR="00000000" w:rsidRPr="00DF7D16" w:rsidP="00DF7D16">
      <w:pPr>
        <w:pStyle w:val="Heading1"/>
      </w:pPr>
      <w:bookmarkStart w:id="4" w:name="O_776255"/>
      <w:bookmarkEnd w:id="4"/>
      <w:r w:rsidRPr="00DF7D16">
        <w:t>Assessment Conditions</w:t>
      </w:r>
    </w:p>
    <w:p w:rsidR="00000000" w:rsidRPr="00DF7D16" w:rsidP="006F36CB">
      <w:pPr>
        <w:pStyle w:val="BodyText"/>
      </w:pPr>
      <w:r w:rsidRPr="00DF7D16">
        <w:t>Assessors must satisfy NVR/AQTF assessor requirements.</w:t>
      </w:r>
    </w:p>
    <w:p w:rsidR="00000000" w:rsidRPr="00DF7D16" w:rsidP="006F36CB">
      <w:pPr>
        <w:pStyle w:val="BodyText"/>
      </w:pPr>
      <w:r w:rsidRPr="00DF7D16">
        <w:t xml:space="preserve">Competency is to be assessed in the workplace or a simulated environment that accurately reflects </w:t>
      </w:r>
      <w:r w:rsidRPr="00DF7D16">
        <w:t>performance in a real workplace setting.</w:t>
      </w:r>
    </w:p>
    <w:p w:rsidR="00000000" w:rsidRPr="00DF7D16" w:rsidP="006F36CB">
      <w:pPr>
        <w:pStyle w:val="BodyText"/>
      </w:pPr>
      <w:r w:rsidRPr="00DF7D16">
        <w:t>Assessment must include direct observation of tasks.</w:t>
      </w:r>
    </w:p>
    <w:p w:rsidR="00000000" w:rsidRPr="00DF7D16" w:rsidP="006F36CB">
      <w:pPr>
        <w:pStyle w:val="BodyText"/>
      </w:pPr>
      <w:r w:rsidRPr="00DF7D16">
        <w:t>Where assessment of competency includes third-party evidence, individuals must provide evidence that links them to the engines that they have worked on, e.g. re</w:t>
      </w:r>
      <w:r w:rsidRPr="00DF7D16">
        <w:t>pair orders.</w:t>
      </w:r>
    </w:p>
    <w:p w:rsidR="00000000" w:rsidRPr="00DF7D16" w:rsidP="006F36CB">
      <w:pPr>
        <w:pStyle w:val="BodyText"/>
      </w:pPr>
      <w:r w:rsidRPr="00DF7D16">
        <w:t>Assessors must verify performance evidence through questioning on skills and knowledge to ensure correct interpretation and application.</w:t>
      </w:r>
    </w:p>
    <w:p w:rsidR="00000000" w:rsidRPr="00DF7D16" w:rsidP="006F36CB">
      <w:pPr>
        <w:pStyle w:val="BodyText"/>
      </w:pPr>
      <w:r w:rsidRPr="00DF7D16">
        <w:t>The following resources must be made available:</w:t>
      </w:r>
    </w:p>
    <w:p w:rsidR="00000000" w:rsidRPr="00DF7D16" w:rsidP="00DF7D16">
      <w:pPr>
        <w:pStyle w:val="ListBullet"/>
      </w:pPr>
      <w:r w:rsidRPr="00DF7D16">
        <w:t>automotive repair workplace or simulated workplace</w:t>
      </w:r>
    </w:p>
    <w:p w:rsidR="00000000" w:rsidRPr="00DF7D16" w:rsidP="00DF7D16">
      <w:pPr>
        <w:pStyle w:val="ListBullet"/>
      </w:pPr>
      <w:r w:rsidRPr="00DF7D16">
        <w:t>workplace instructions</w:t>
      </w:r>
    </w:p>
    <w:p w:rsidR="00000000" w:rsidRPr="00DF7D16" w:rsidP="00DF7D16">
      <w:pPr>
        <w:pStyle w:val="ListBullet"/>
      </w:pPr>
      <w:r w:rsidRPr="00DF7D16">
        <w:t>manufacturer engine specifications</w:t>
      </w:r>
    </w:p>
    <w:p w:rsidR="00000000" w:rsidRPr="00DF7D16" w:rsidP="00DF7D16">
      <w:pPr>
        <w:pStyle w:val="ListBullet"/>
      </w:pPr>
      <w:r w:rsidRPr="00DF7D16">
        <w:t>two different vehicles or machinery with engines requiring servicing</w:t>
      </w:r>
    </w:p>
    <w:p w:rsidR="00000000" w:rsidRPr="00DF7D16" w:rsidP="00DF7D16">
      <w:pPr>
        <w:pStyle w:val="ListBullet"/>
      </w:pPr>
      <w:r w:rsidRPr="00DF7D16">
        <w:t>tools, equipment and materials appropriate for inspecting and servicing engines.</w:t>
      </w:r>
    </w:p>
    <w:p w:rsidR="00000000" w:rsidRPr="00DF7D16" w:rsidP="00DF7D16">
      <w:pPr>
        <w:pStyle w:val="AllowPageBreak"/>
      </w:pPr>
    </w:p>
    <w:p w:rsidR="00000000" w:rsidRPr="00DF7D16" w:rsidP="00DF7D16">
      <w:pPr>
        <w:pStyle w:val="Heading1"/>
      </w:pPr>
      <w:bookmarkStart w:id="5" w:name="O_776258"/>
      <w:bookmarkEnd w:id="5"/>
      <w:r w:rsidRPr="00DF7D16">
        <w:t>Links</w:t>
      </w:r>
    </w:p>
    <w:p w:rsidR="00000000" w:rsidRPr="00DF7D16" w:rsidP="006F36CB">
      <w:pPr>
        <w:pStyle w:val="BodyText"/>
      </w:pPr>
      <w:r w:rsidRPr="00DF7D16">
        <w:t>Companion Volume implemen</w:t>
      </w:r>
      <w:r w:rsidRPr="00DF7D16">
        <w:t xml:space="preserve">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16A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7D16" w:rsidP="006F36CB">
      <w:pPr>
        <w:pStyle w:val="BodyText"/>
      </w:pPr>
      <w:r w:rsidRPr="00DF7D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16A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7D16" w:rsidP="00DF7D16"/>
    <w:sectPr w:rsidSect="00DF7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D16" w:rsidRPr="006F36CB" w:rsidP="006F3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CB" w:rsidP="00DF7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6CB" w:rsidP="00DF7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F36CB" w:rsidP="00DF7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D16" w:rsidRPr="006F36CB" w:rsidP="006F3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CB" w:rsidRPr="002D2AF8" w:rsidP="00DF7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AURTTE004 Inspect and service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F36CB" w:rsidP="00DF7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22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9EF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3CF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D16"/>
  </w:style>
  <w:style w:type="character" w:customStyle="1" w:styleId="Heading1Char">
    <w:name w:val="Heading 1 Char"/>
    <w:basedOn w:val="DefaultParagraphFont"/>
    <w:link w:val="Heading1"/>
    <w:rsid w:val="00DF7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D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D16"/>
    <w:rPr>
      <w:b/>
      <w:spacing w:val="0"/>
    </w:rPr>
  </w:style>
  <w:style w:type="paragraph" w:styleId="ListBullet2">
    <w:name w:val="List Bullet 2"/>
    <w:basedOn w:val="List2"/>
    <w:rsid w:val="00DF7D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7D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7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D16"/>
    <w:rPr>
      <w:i/>
    </w:rPr>
  </w:style>
  <w:style w:type="paragraph" w:styleId="Caption">
    <w:name w:val="caption"/>
    <w:basedOn w:val="BodyText"/>
    <w:next w:val="Normal"/>
    <w:qFormat/>
    <w:rsid w:val="00DF7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D16"/>
  </w:style>
  <w:style w:type="paragraph" w:styleId="TableofFigures">
    <w:name w:val="table of figures"/>
    <w:basedOn w:val="Normal"/>
    <w:next w:val="Normal"/>
    <w:semiHidden/>
    <w:rsid w:val="00DF7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D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7D16"/>
    <w:rPr>
      <w:rFonts w:ascii="Wingdings" w:hAnsi="Wingdings"/>
    </w:rPr>
  </w:style>
  <w:style w:type="paragraph" w:customStyle="1" w:styleId="TableHeading">
    <w:name w:val="Table Heading"/>
    <w:basedOn w:val="HeadingBase"/>
    <w:rsid w:val="00DF7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D16"/>
    <w:rPr>
      <w:color w:val="0033CC"/>
      <w:u w:val="none"/>
    </w:rPr>
  </w:style>
  <w:style w:type="paragraph" w:customStyle="1" w:styleId="BodyTextRight">
    <w:name w:val="Body Text Right"/>
    <w:basedOn w:val="BodyText"/>
    <w:rsid w:val="00DF7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D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D16"/>
    <w:rPr>
      <w:sz w:val="32"/>
    </w:rPr>
  </w:style>
  <w:style w:type="paragraph" w:customStyle="1" w:styleId="HeadingProcedure">
    <w:name w:val="Heading Procedure"/>
    <w:basedOn w:val="HeadingBase"/>
    <w:next w:val="Normal"/>
    <w:rsid w:val="00DF7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D16"/>
    <w:pPr>
      <w:spacing w:before="60" w:after="60"/>
    </w:pPr>
  </w:style>
  <w:style w:type="paragraph" w:styleId="ListContinue">
    <w:name w:val="List Continue"/>
    <w:basedOn w:val="List"/>
    <w:rsid w:val="00DF7D16"/>
    <w:pPr>
      <w:ind w:firstLine="0"/>
    </w:pPr>
  </w:style>
  <w:style w:type="paragraph" w:customStyle="1" w:styleId="ListNote">
    <w:name w:val="List Note"/>
    <w:basedOn w:val="List"/>
    <w:rsid w:val="00DF7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D16"/>
    <w:rPr>
      <w:rFonts w:ascii="Courier New" w:hAnsi="Courier New"/>
    </w:rPr>
  </w:style>
  <w:style w:type="paragraph" w:customStyle="1" w:styleId="NoteBullet">
    <w:name w:val="Note Bullet"/>
    <w:basedOn w:val="Note"/>
    <w:rsid w:val="00DF7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D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7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D16"/>
    <w:rPr>
      <w:b/>
      <w:smallCaps/>
    </w:rPr>
  </w:style>
  <w:style w:type="paragraph" w:customStyle="1" w:styleId="TableListNumber">
    <w:name w:val="Table List Number"/>
    <w:basedOn w:val="ListNumber"/>
    <w:rsid w:val="00DF7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D16"/>
    <w:pPr>
      <w:numPr>
        <w:numId w:val="10"/>
      </w:numPr>
    </w:pPr>
  </w:style>
  <w:style w:type="paragraph" w:customStyle="1" w:styleId="ListAlpha2">
    <w:name w:val="List Alpha 2"/>
    <w:basedOn w:val="List2"/>
    <w:rsid w:val="00DF7D16"/>
    <w:pPr>
      <w:numPr>
        <w:numId w:val="9"/>
      </w:numPr>
    </w:pPr>
  </w:style>
  <w:style w:type="paragraph" w:styleId="List2">
    <w:name w:val="List 2"/>
    <w:basedOn w:val="BodyText"/>
    <w:rsid w:val="00DF7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D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7D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7D16"/>
    <w:pPr>
      <w:numPr>
        <w:numId w:val="5"/>
      </w:numPr>
    </w:pPr>
  </w:style>
  <w:style w:type="paragraph" w:styleId="ListContinue2">
    <w:name w:val="List Continue 2"/>
    <w:basedOn w:val="List2"/>
    <w:rsid w:val="00DF7D16"/>
    <w:pPr>
      <w:ind w:firstLine="0"/>
    </w:pPr>
  </w:style>
  <w:style w:type="paragraph" w:styleId="ListContinue3">
    <w:name w:val="List Continue 3"/>
    <w:basedOn w:val="List3"/>
    <w:rsid w:val="00DF7D16"/>
    <w:pPr>
      <w:ind w:left="1021" w:firstLine="0"/>
    </w:pPr>
  </w:style>
  <w:style w:type="paragraph" w:styleId="ListContinue4">
    <w:name w:val="List Continue 4"/>
    <w:basedOn w:val="List4"/>
    <w:rsid w:val="00DF7D16"/>
    <w:pPr>
      <w:ind w:firstLine="0"/>
    </w:pPr>
  </w:style>
  <w:style w:type="paragraph" w:styleId="ListContinue5">
    <w:name w:val="List Continue 5"/>
    <w:basedOn w:val="List5"/>
    <w:rsid w:val="00DF7D16"/>
    <w:pPr>
      <w:ind w:firstLine="0"/>
    </w:pPr>
  </w:style>
  <w:style w:type="paragraph" w:styleId="ListNumber3">
    <w:name w:val="List Number 3"/>
    <w:basedOn w:val="List3"/>
    <w:rsid w:val="00DF7D16"/>
    <w:pPr>
      <w:numPr>
        <w:numId w:val="6"/>
      </w:numPr>
    </w:pPr>
  </w:style>
  <w:style w:type="paragraph" w:styleId="ListNumber4">
    <w:name w:val="List Number 4"/>
    <w:basedOn w:val="List4"/>
    <w:rsid w:val="00DF7D16"/>
    <w:pPr>
      <w:numPr>
        <w:numId w:val="7"/>
      </w:numPr>
    </w:pPr>
  </w:style>
  <w:style w:type="paragraph" w:styleId="ListNumber5">
    <w:name w:val="List Number 5"/>
    <w:basedOn w:val="List5"/>
    <w:rsid w:val="00DF7D16"/>
    <w:pPr>
      <w:numPr>
        <w:numId w:val="8"/>
      </w:numPr>
    </w:pPr>
  </w:style>
  <w:style w:type="paragraph" w:styleId="BlockText">
    <w:name w:val="Block Text"/>
    <w:basedOn w:val="Normal"/>
    <w:rsid w:val="00DF7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D16"/>
    <w:rPr>
      <w:sz w:val="16"/>
      <w:vertAlign w:val="superscript"/>
    </w:rPr>
  </w:style>
  <w:style w:type="character" w:customStyle="1" w:styleId="Symbols">
    <w:name w:val="Symbols"/>
    <w:basedOn w:val="DefaultParagraphFont"/>
    <w:rsid w:val="00DF7D16"/>
    <w:rPr>
      <w:rFonts w:ascii="Symbol" w:hAnsi="Symbol"/>
    </w:rPr>
  </w:style>
  <w:style w:type="character" w:customStyle="1" w:styleId="MenuOptions">
    <w:name w:val="Menu Options"/>
    <w:basedOn w:val="DefaultParagraphFont"/>
    <w:rsid w:val="00DF7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D16"/>
    <w:rPr>
      <w:b/>
    </w:rPr>
  </w:style>
  <w:style w:type="character" w:customStyle="1" w:styleId="Underlined">
    <w:name w:val="Underlined"/>
    <w:basedOn w:val="DefaultParagraphFont"/>
    <w:rsid w:val="00DF7D16"/>
    <w:rPr>
      <w:u w:val="single"/>
    </w:rPr>
  </w:style>
  <w:style w:type="paragraph" w:customStyle="1" w:styleId="TableBodyTextRight">
    <w:name w:val="Table Body Text Right"/>
    <w:basedOn w:val="TableBodyText"/>
    <w:rsid w:val="00DF7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D16"/>
    <w:rPr>
      <w:sz w:val="18"/>
    </w:rPr>
  </w:style>
  <w:style w:type="paragraph" w:customStyle="1" w:styleId="BodySmallRight">
    <w:name w:val="Body Small Right"/>
    <w:basedOn w:val="BodyTextRight"/>
    <w:rsid w:val="00DF7D16"/>
    <w:rPr>
      <w:sz w:val="18"/>
      <w:szCs w:val="18"/>
    </w:rPr>
  </w:style>
  <w:style w:type="paragraph" w:customStyle="1" w:styleId="MarginEdition">
    <w:name w:val="Margin Edition"/>
    <w:basedOn w:val="MarginNote"/>
    <w:rsid w:val="00DF7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D16"/>
    <w:rPr>
      <w:sz w:val="2"/>
      <w:szCs w:val="2"/>
    </w:rPr>
  </w:style>
  <w:style w:type="character" w:customStyle="1" w:styleId="Small">
    <w:name w:val="Small"/>
    <w:basedOn w:val="DefaultParagraphFont"/>
    <w:rsid w:val="00DF7D16"/>
    <w:rPr>
      <w:sz w:val="16"/>
    </w:rPr>
  </w:style>
  <w:style w:type="paragraph" w:customStyle="1" w:styleId="WideTable">
    <w:name w:val="Wide Table"/>
    <w:basedOn w:val="Normal"/>
    <w:rsid w:val="00DF7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D16"/>
  </w:style>
  <w:style w:type="paragraph" w:styleId="Quote">
    <w:name w:val="Quote"/>
    <w:basedOn w:val="Heading1"/>
    <w:link w:val="QuoteChar"/>
    <w:qFormat/>
    <w:rsid w:val="00DF7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D16"/>
    <w:pPr>
      <w:pageBreakBefore/>
    </w:pPr>
  </w:style>
  <w:style w:type="paragraph" w:customStyle="1" w:styleId="Border">
    <w:name w:val="Border"/>
    <w:basedOn w:val="Normal"/>
    <w:qFormat/>
    <w:rsid w:val="00DF7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D16"/>
    <w:rPr>
      <w:u w:val="single"/>
    </w:rPr>
  </w:style>
  <w:style w:type="character" w:customStyle="1" w:styleId="BoldandItalics">
    <w:name w:val="Bold and Italics"/>
    <w:qFormat/>
    <w:rsid w:val="00DF7D16"/>
    <w:rPr>
      <w:b/>
      <w:i/>
      <w:u w:val="none"/>
    </w:rPr>
  </w:style>
  <w:style w:type="paragraph" w:styleId="BalloonText">
    <w:name w:val="Balloon Text"/>
    <w:basedOn w:val="Normal"/>
    <w:link w:val="BalloonTextChar"/>
    <w:rsid w:val="00DF7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D16"/>
    <w:pPr>
      <w:spacing w:before="0" w:after="0"/>
    </w:pPr>
  </w:style>
  <w:style w:type="paragraph" w:customStyle="1" w:styleId="BodyTextBold">
    <w:name w:val="Body Text Bold"/>
    <w:basedOn w:val="BodyText"/>
    <w:qFormat/>
    <w:rsid w:val="00DF7D16"/>
    <w:rPr>
      <w:b/>
    </w:rPr>
  </w:style>
  <w:style w:type="character" w:styleId="Hyperlink">
    <w:name w:val="Hyperlink"/>
    <w:basedOn w:val="DefaultParagraphFont"/>
    <w:uiPriority w:val="99"/>
    <w:unhideWhenUsed/>
    <w:rsid w:val="006F3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3057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AURTTE004 Inspect and service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