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D5F" w:rsidP="00C97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AURTTE001 Apply knowledge of engine science</w:t>
      </w:r>
      <w:r>
        <w:fldChar w:fldCharType="end"/>
      </w:r>
    </w:p>
    <w:p w:rsidR="00C97D5F" w:rsidP="00C97D5F">
      <w:pPr>
        <w:pStyle w:val="Version"/>
        <w:sectPr w:rsidSect="004C5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6D2" w:rsidP="004C56D2">
      <w:pPr>
        <w:pStyle w:val="SuperHeading"/>
      </w:pPr>
      <w:r w:rsidRPr="004C56D2">
        <w:t>Assessment Requirements for AURTTE001 Apply knowledge of engine science</w:t>
      </w:r>
    </w:p>
    <w:p w:rsidR="00000000" w:rsidRPr="004C56D2" w:rsidP="004C56D2">
      <w:pPr>
        <w:pStyle w:val="Heading1"/>
      </w:pPr>
      <w:bookmarkStart w:id="1" w:name="O_794092"/>
      <w:bookmarkEnd w:id="1"/>
      <w:r w:rsidRPr="004C56D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97D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6D2" w:rsidP="004C56D2">
            <w:pPr>
              <w:pStyle w:val="BodyText"/>
            </w:pPr>
            <w:r w:rsidRPr="004C56D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D2">
            <w:pPr>
              <w:pStyle w:val="BodyText"/>
              <w:rPr>
                <w:lang w:val="en-NZ"/>
              </w:rPr>
            </w:pPr>
            <w:r w:rsidRPr="004C56D2">
              <w:rPr>
                <w:rStyle w:val="SpecialBold"/>
              </w:rPr>
              <w:t>Comment</w:t>
            </w:r>
          </w:p>
        </w:tc>
      </w:tr>
      <w:tr w:rsidTr="00C97D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D2">
            <w:pPr>
              <w:pStyle w:val="BodyText"/>
              <w:rPr>
                <w:lang w:val="en-NZ"/>
              </w:rPr>
            </w:pPr>
            <w:r w:rsidRPr="004C56D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6D2" w:rsidP="004C56D2">
            <w:pPr>
              <w:pStyle w:val="BodyText"/>
            </w:pPr>
            <w:r w:rsidRPr="004C56D2">
              <w:t>New unit of competency.</w:t>
            </w:r>
          </w:p>
        </w:tc>
      </w:tr>
    </w:tbl>
    <w:p w:rsidR="00000000" w:rsidRPr="004C56D2" w:rsidP="004C56D2">
      <w:pPr>
        <w:pStyle w:val="BodyText"/>
      </w:pPr>
    </w:p>
    <w:p w:rsidR="00000000" w:rsidRPr="004C56D2" w:rsidP="004C56D2">
      <w:pPr>
        <w:pStyle w:val="AllowPageBreak"/>
      </w:pPr>
    </w:p>
    <w:p w:rsidR="00000000" w:rsidRPr="004C56D2" w:rsidP="004C56D2">
      <w:pPr>
        <w:pStyle w:val="Heading1"/>
      </w:pPr>
      <w:bookmarkStart w:id="2" w:name="O_794093"/>
      <w:bookmarkEnd w:id="2"/>
      <w:r w:rsidRPr="004C56D2">
        <w:t>Performance Evidence</w:t>
      </w:r>
    </w:p>
    <w:p w:rsidR="00000000" w:rsidRPr="004C56D2" w:rsidP="00C97D5F">
      <w:pPr>
        <w:pStyle w:val="BodyText"/>
      </w:pPr>
      <w:r w:rsidRPr="004C56D2">
        <w:t>Before competency can be determin</w:t>
      </w:r>
      <w:r w:rsidRPr="004C56D2">
        <w:t>ed, individuals must demonstrate they can perform the following according to the standard defined in this unit’s elements, performance criteria and foundation skills:</w:t>
      </w:r>
    </w:p>
    <w:p w:rsidR="00000000" w:rsidRPr="004C56D2" w:rsidP="004C56D2">
      <w:pPr>
        <w:pStyle w:val="ListBullet"/>
      </w:pPr>
      <w:r w:rsidRPr="004C56D2">
        <w:t>apply knowledge of engine science to three different multi-cylinder engines when diagnos</w:t>
      </w:r>
      <w:r w:rsidRPr="004C56D2">
        <w:t>ing and repairing engine faults or reconditioning engine components</w:t>
      </w:r>
    </w:p>
    <w:p w:rsidR="00000000" w:rsidRPr="004C56D2" w:rsidP="004C56D2">
      <w:pPr>
        <w:pStyle w:val="ListBullet"/>
      </w:pPr>
      <w:r w:rsidRPr="004C56D2">
        <w:t>evaluate and expand knowledge of engine science, including demonstrating knowledge of one of the following:</w:t>
      </w:r>
    </w:p>
    <w:p w:rsidR="00000000" w:rsidRPr="004C56D2" w:rsidP="004C56D2">
      <w:pPr>
        <w:pStyle w:val="ListBullet2"/>
      </w:pPr>
      <w:r w:rsidRPr="004C56D2">
        <w:t>new repair or reconditioning procedure</w:t>
      </w:r>
    </w:p>
    <w:p w:rsidR="00000000" w:rsidRPr="004C56D2" w:rsidP="004C56D2">
      <w:pPr>
        <w:pStyle w:val="ListBullet2"/>
      </w:pPr>
      <w:r w:rsidRPr="004C56D2">
        <w:t>new engine technology</w:t>
      </w:r>
    </w:p>
    <w:p w:rsidR="00000000" w:rsidRPr="004C56D2" w:rsidP="004C56D2">
      <w:pPr>
        <w:pStyle w:val="ListBullet2"/>
      </w:pPr>
      <w:r w:rsidRPr="004C56D2">
        <w:t>new reconditioning machine.</w:t>
      </w:r>
    </w:p>
    <w:p w:rsidR="00000000" w:rsidRPr="004C56D2" w:rsidP="004C56D2">
      <w:pPr>
        <w:pStyle w:val="AllowPageBreak"/>
      </w:pPr>
    </w:p>
    <w:p w:rsidR="00000000" w:rsidRPr="004C56D2" w:rsidP="004C56D2">
      <w:pPr>
        <w:pStyle w:val="Heading1"/>
      </w:pPr>
      <w:bookmarkStart w:id="3" w:name="O_794094"/>
      <w:bookmarkEnd w:id="3"/>
      <w:r w:rsidRPr="004C56D2">
        <w:t>Knowledge Evidence</w:t>
      </w:r>
    </w:p>
    <w:p w:rsidR="00000000" w:rsidRPr="004C56D2" w:rsidP="00C97D5F">
      <w:pPr>
        <w:pStyle w:val="BodyText"/>
      </w:pPr>
      <w:r w:rsidRPr="004C56D2">
        <w:t>Individuals must be able to demonstrate knowledge of:</w:t>
      </w:r>
    </w:p>
    <w:p w:rsidR="00000000" w:rsidRPr="004C56D2" w:rsidP="004C56D2">
      <w:pPr>
        <w:pStyle w:val="ListBullet"/>
      </w:pPr>
      <w:r w:rsidRPr="004C56D2">
        <w:t>classifications of engines, including:</w:t>
      </w:r>
    </w:p>
    <w:p w:rsidR="00000000" w:rsidRPr="004C56D2" w:rsidP="004C56D2">
      <w:pPr>
        <w:pStyle w:val="ListBullet2"/>
      </w:pPr>
      <w:r w:rsidRPr="004C56D2">
        <w:t>internal and external combustion</w:t>
      </w:r>
    </w:p>
    <w:p w:rsidR="00000000" w:rsidRPr="004C56D2" w:rsidP="004C56D2">
      <w:pPr>
        <w:pStyle w:val="ListBullet2"/>
      </w:pPr>
      <w:r w:rsidRPr="004C56D2">
        <w:t>rotary and reciprocating engines</w:t>
      </w:r>
    </w:p>
    <w:p w:rsidR="00000000" w:rsidRPr="004C56D2" w:rsidP="004C56D2">
      <w:pPr>
        <w:pStyle w:val="ListBullet2"/>
      </w:pPr>
      <w:r w:rsidRPr="004C56D2">
        <w:t xml:space="preserve">spark ignition and compression </w:t>
      </w:r>
      <w:r w:rsidRPr="004C56D2">
        <w:t>ignition engines</w:t>
      </w:r>
    </w:p>
    <w:p w:rsidR="00000000" w:rsidRPr="004C56D2" w:rsidP="004C56D2">
      <w:pPr>
        <w:pStyle w:val="ListBullet2"/>
      </w:pPr>
      <w:r w:rsidRPr="004C56D2">
        <w:t>engine cylinder arrangements</w:t>
      </w:r>
    </w:p>
    <w:p w:rsidR="00000000" w:rsidRPr="004C56D2" w:rsidP="004C56D2">
      <w:pPr>
        <w:pStyle w:val="ListBullet"/>
      </w:pPr>
      <w:r w:rsidRPr="004C56D2">
        <w:t>engine configurations, including:</w:t>
      </w:r>
    </w:p>
    <w:p w:rsidR="00000000" w:rsidRPr="004C56D2" w:rsidP="004C56D2">
      <w:pPr>
        <w:pStyle w:val="ListBullet2"/>
      </w:pPr>
      <w:r w:rsidRPr="004C56D2">
        <w:t>inline engines, V type engines and slant cylinder engines</w:t>
      </w:r>
    </w:p>
    <w:p w:rsidR="00000000" w:rsidRPr="004C56D2" w:rsidP="004C56D2">
      <w:pPr>
        <w:pStyle w:val="ListBullet2"/>
      </w:pPr>
      <w:r w:rsidRPr="004C56D2">
        <w:t>opposed cylinder engines</w:t>
      </w:r>
    </w:p>
    <w:p w:rsidR="00000000" w:rsidRPr="004C56D2" w:rsidP="004C56D2">
      <w:pPr>
        <w:pStyle w:val="ListBullet"/>
      </w:pPr>
      <w:r w:rsidRPr="004C56D2">
        <w:t>camshaft and valve locations, including:</w:t>
      </w:r>
    </w:p>
    <w:p w:rsidR="00000000" w:rsidRPr="004C56D2" w:rsidP="004C56D2">
      <w:pPr>
        <w:pStyle w:val="ListBullet2"/>
      </w:pPr>
      <w:r w:rsidRPr="004C56D2">
        <w:t>overhead cam (OHC)</w:t>
      </w:r>
    </w:p>
    <w:p w:rsidR="00000000" w:rsidRPr="004C56D2" w:rsidP="004C56D2">
      <w:pPr>
        <w:pStyle w:val="ListBullet2"/>
      </w:pPr>
      <w:r w:rsidRPr="004C56D2">
        <w:t>overhead valve (OHV)</w:t>
      </w:r>
    </w:p>
    <w:p w:rsidR="00000000" w:rsidRPr="004C56D2" w:rsidP="004C56D2">
      <w:pPr>
        <w:pStyle w:val="ListBullet"/>
      </w:pPr>
      <w:r w:rsidRPr="004C56D2">
        <w:t>engine operating principles, including:</w:t>
      </w:r>
    </w:p>
    <w:p w:rsidR="00000000" w:rsidRPr="004C56D2" w:rsidP="004C56D2">
      <w:pPr>
        <w:pStyle w:val="ListBullet2"/>
      </w:pPr>
      <w:r w:rsidRPr="004C56D2">
        <w:t>combustion, including:</w:t>
      </w:r>
    </w:p>
    <w:p w:rsidR="00000000" w:rsidRPr="004C56D2" w:rsidP="004C56D2">
      <w:pPr>
        <w:pStyle w:val="ListBullet3"/>
      </w:pPr>
      <w:r w:rsidRPr="004C56D2">
        <w:t>air to fuel ratios and flame propagation</w:t>
      </w:r>
    </w:p>
    <w:p w:rsidR="00000000" w:rsidRPr="004C56D2" w:rsidP="004C56D2">
      <w:pPr>
        <w:pStyle w:val="ListBullet3"/>
      </w:pPr>
      <w:r w:rsidRPr="004C56D2">
        <w:t>direct and indirect fuel injection</w:t>
      </w:r>
    </w:p>
    <w:p w:rsidR="00000000" w:rsidRPr="004C56D2" w:rsidP="004C56D2">
      <w:pPr>
        <w:pStyle w:val="ListBullet3"/>
      </w:pPr>
      <w:r w:rsidRPr="004C56D2">
        <w:t>detonation and pre-ignition</w:t>
      </w:r>
    </w:p>
    <w:p w:rsidR="00000000" w:rsidRPr="004C56D2" w:rsidP="004C56D2">
      <w:pPr>
        <w:pStyle w:val="ListBullet2"/>
      </w:pPr>
      <w:r w:rsidRPr="004C56D2">
        <w:t>two-stroke and four-stroke cycles</w:t>
      </w:r>
    </w:p>
    <w:p w:rsidR="00000000" w:rsidRPr="004C56D2" w:rsidP="004C56D2">
      <w:pPr>
        <w:pStyle w:val="ListBullet"/>
      </w:pPr>
      <w:r w:rsidRPr="004C56D2">
        <w:t>procedures for measuring engines and engine performance, including:</w:t>
      </w:r>
    </w:p>
    <w:p w:rsidR="00000000" w:rsidRPr="004C56D2" w:rsidP="004C56D2">
      <w:pPr>
        <w:pStyle w:val="ListBullet2"/>
      </w:pPr>
      <w:r w:rsidRPr="004C56D2">
        <w:t>bore and stroke, including:</w:t>
      </w:r>
    </w:p>
    <w:p w:rsidR="00000000" w:rsidRPr="004C56D2" w:rsidP="004C56D2">
      <w:pPr>
        <w:pStyle w:val="ListBullet3"/>
      </w:pPr>
      <w:r w:rsidRPr="004C56D2">
        <w:t>over square, square and under square engines</w:t>
      </w:r>
    </w:p>
    <w:p w:rsidR="00000000" w:rsidRPr="004C56D2" w:rsidP="004C56D2">
      <w:pPr>
        <w:pStyle w:val="ListBullet3"/>
      </w:pPr>
      <w:r w:rsidRPr="004C56D2">
        <w:t>crank throw</w:t>
      </w:r>
    </w:p>
    <w:p w:rsidR="00000000" w:rsidRPr="004C56D2" w:rsidP="004C56D2">
      <w:pPr>
        <w:pStyle w:val="ListBullet2"/>
      </w:pPr>
      <w:r w:rsidRPr="004C56D2">
        <w:t>swept volume and engine volume</w:t>
      </w:r>
    </w:p>
    <w:p w:rsidR="00000000" w:rsidRPr="004C56D2" w:rsidP="004C56D2">
      <w:pPr>
        <w:pStyle w:val="ListBullet2"/>
      </w:pPr>
      <w:r w:rsidRPr="004C56D2">
        <w:t>compression ratio</w:t>
      </w:r>
    </w:p>
    <w:p w:rsidR="00000000" w:rsidRPr="004C56D2" w:rsidP="004C56D2">
      <w:pPr>
        <w:pStyle w:val="ListBullet2"/>
      </w:pPr>
      <w:r w:rsidRPr="004C56D2">
        <w:t>engine efficiency, including volumetric efficiency, thermal efficiency and mechanical efficiency</w:t>
      </w:r>
    </w:p>
    <w:p w:rsidR="00000000" w:rsidRPr="004C56D2" w:rsidP="004C56D2">
      <w:pPr>
        <w:pStyle w:val="ListBullet2"/>
      </w:pPr>
      <w:r w:rsidRPr="004C56D2">
        <w:t>torque and horsepower, including brake horsepower</w:t>
      </w:r>
    </w:p>
    <w:p w:rsidR="00000000" w:rsidRPr="004C56D2" w:rsidP="004C56D2">
      <w:pPr>
        <w:pStyle w:val="ListBullet"/>
      </w:pPr>
      <w:r w:rsidRPr="004C56D2">
        <w:t>construction and operation of petrol engines, including:</w:t>
      </w:r>
    </w:p>
    <w:p w:rsidR="00000000" w:rsidRPr="004C56D2" w:rsidP="004C56D2">
      <w:pPr>
        <w:pStyle w:val="ListBullet2"/>
      </w:pPr>
      <w:r w:rsidRPr="004C56D2">
        <w:t>basic metallurgy relating to engines</w:t>
      </w:r>
    </w:p>
    <w:p w:rsidR="00000000" w:rsidRPr="004C56D2" w:rsidP="004C56D2">
      <w:pPr>
        <w:pStyle w:val="ListBullet2"/>
      </w:pPr>
      <w:r w:rsidRPr="004C56D2">
        <w:t>identificatio</w:t>
      </w:r>
      <w:r w:rsidRPr="004C56D2">
        <w:t>n of metric and imperial threads</w:t>
      </w:r>
    </w:p>
    <w:p w:rsidR="00000000" w:rsidRPr="004C56D2" w:rsidP="004C56D2">
      <w:pPr>
        <w:pStyle w:val="ListBullet2"/>
      </w:pPr>
      <w:r w:rsidRPr="004C56D2">
        <w:t>engine components, including cylinder blocks, cylinders, pistons, cylinder heads, combustion chambers, inlet and exhaust manifolds, connecting rods, crankshafts, piston rings, gudgeon pins, camshafts, cams and flywheels</w:t>
      </w:r>
    </w:p>
    <w:p w:rsidR="00000000" w:rsidRPr="004C56D2" w:rsidP="004C56D2">
      <w:pPr>
        <w:pStyle w:val="ListBullet"/>
      </w:pPr>
      <w:r w:rsidRPr="004C56D2">
        <w:t>combustion chambers, including:</w:t>
      </w:r>
    </w:p>
    <w:p w:rsidR="00000000" w:rsidRPr="004C56D2" w:rsidP="004C56D2">
      <w:pPr>
        <w:pStyle w:val="ListBullet2"/>
      </w:pPr>
      <w:r w:rsidRPr="004C56D2">
        <w:t>L head, bathtub, wedge, trapezoidal, hemispherical and heron-type shapes</w:t>
      </w:r>
    </w:p>
    <w:p w:rsidR="00000000" w:rsidRPr="004C56D2" w:rsidP="004C56D2">
      <w:pPr>
        <w:pStyle w:val="ListBullet2"/>
      </w:pPr>
      <w:r w:rsidRPr="004C56D2">
        <w:t>multiple valve designs</w:t>
      </w:r>
    </w:p>
    <w:p w:rsidR="00000000" w:rsidRPr="004C56D2" w:rsidP="004C56D2">
      <w:pPr>
        <w:pStyle w:val="ListBullet"/>
      </w:pPr>
      <w:r w:rsidRPr="004C56D2">
        <w:t>construction and operation of diesel engines, including:</w:t>
      </w:r>
    </w:p>
    <w:p w:rsidR="00000000" w:rsidRPr="004C56D2" w:rsidP="004C56D2">
      <w:pPr>
        <w:pStyle w:val="ListBullet2"/>
      </w:pPr>
      <w:r w:rsidRPr="004C56D2">
        <w:t>direct and indirect injection</w:t>
      </w:r>
    </w:p>
    <w:p w:rsidR="00000000" w:rsidRPr="004C56D2" w:rsidP="004C56D2">
      <w:pPr>
        <w:pStyle w:val="ListBullet2"/>
      </w:pPr>
      <w:r w:rsidRPr="004C56D2">
        <w:t>swirl chambers</w:t>
      </w:r>
    </w:p>
    <w:p w:rsidR="00000000" w:rsidRPr="004C56D2" w:rsidP="004C56D2">
      <w:pPr>
        <w:pStyle w:val="ListBullet2"/>
      </w:pPr>
      <w:r w:rsidRPr="004C56D2">
        <w:t>pre-combustion chambers</w:t>
      </w:r>
    </w:p>
    <w:p w:rsidR="00000000" w:rsidRPr="004C56D2" w:rsidP="004C56D2">
      <w:pPr>
        <w:pStyle w:val="ListBullet"/>
      </w:pPr>
      <w:r w:rsidRPr="004C56D2">
        <w:t>engine diagnosis, including:</w:t>
      </w:r>
    </w:p>
    <w:p w:rsidR="00000000" w:rsidRPr="004C56D2" w:rsidP="004C56D2">
      <w:pPr>
        <w:pStyle w:val="ListBullet2"/>
      </w:pPr>
      <w:r w:rsidRPr="004C56D2">
        <w:t>wet and dry compression tests</w:t>
      </w:r>
    </w:p>
    <w:p w:rsidR="00000000" w:rsidRPr="004C56D2" w:rsidP="004C56D2">
      <w:pPr>
        <w:pStyle w:val="ListBullet2"/>
      </w:pPr>
      <w:r w:rsidRPr="004C56D2">
        <w:t>cylinder leakage tests</w:t>
      </w:r>
    </w:p>
    <w:p w:rsidR="00000000" w:rsidRPr="004C56D2" w:rsidP="004C56D2">
      <w:pPr>
        <w:pStyle w:val="ListBullet2"/>
      </w:pPr>
      <w:r w:rsidRPr="004C56D2">
        <w:t>cylinder power balance tests</w:t>
      </w:r>
    </w:p>
    <w:p w:rsidR="00000000" w:rsidRPr="004C56D2" w:rsidP="004C56D2">
      <w:pPr>
        <w:pStyle w:val="ListBullet2"/>
      </w:pPr>
      <w:r w:rsidRPr="004C56D2">
        <w:t>vacuum tests</w:t>
      </w:r>
    </w:p>
    <w:p w:rsidR="00000000" w:rsidRPr="004C56D2" w:rsidP="004C56D2">
      <w:pPr>
        <w:pStyle w:val="ListBullet2"/>
      </w:pPr>
      <w:r w:rsidRPr="004C56D2">
        <w:t>oil pressure tests</w:t>
      </w:r>
    </w:p>
    <w:p w:rsidR="00000000" w:rsidRPr="004C56D2" w:rsidP="004C56D2">
      <w:pPr>
        <w:pStyle w:val="ListBullet2"/>
      </w:pPr>
      <w:r w:rsidRPr="004C56D2">
        <w:t>sources of fluid leaks</w:t>
      </w:r>
    </w:p>
    <w:p w:rsidR="00000000" w:rsidRPr="004C56D2" w:rsidP="004C56D2">
      <w:pPr>
        <w:pStyle w:val="ListBullet2"/>
      </w:pPr>
      <w:r w:rsidRPr="004C56D2">
        <w:t>exhaust smoke diagnosis</w:t>
      </w:r>
    </w:p>
    <w:p w:rsidR="00000000" w:rsidRPr="004C56D2" w:rsidP="004C56D2">
      <w:pPr>
        <w:pStyle w:val="ListBullet"/>
      </w:pPr>
      <w:r w:rsidRPr="004C56D2">
        <w:t>engine noise diagnosis, including procedures for identifying:</w:t>
      </w:r>
    </w:p>
    <w:p w:rsidR="00000000" w:rsidRPr="004C56D2" w:rsidP="004C56D2">
      <w:pPr>
        <w:pStyle w:val="ListBullet2"/>
      </w:pPr>
      <w:r w:rsidRPr="004C56D2">
        <w:t>common engine noises</w:t>
      </w:r>
    </w:p>
    <w:p w:rsidR="00000000" w:rsidRPr="004C56D2" w:rsidP="004C56D2">
      <w:pPr>
        <w:pStyle w:val="ListBullet2"/>
      </w:pPr>
      <w:r w:rsidRPr="004C56D2">
        <w:t>common abnormal combustion noises</w:t>
      </w:r>
    </w:p>
    <w:p w:rsidR="00000000" w:rsidRPr="004C56D2" w:rsidP="004C56D2">
      <w:pPr>
        <w:pStyle w:val="ListBullet"/>
      </w:pPr>
      <w:r w:rsidRPr="004C56D2">
        <w:t>procedures for expanding knowledge, including location and content of:</w:t>
      </w:r>
    </w:p>
    <w:p w:rsidR="00000000" w:rsidRPr="004C56D2" w:rsidP="004C56D2">
      <w:pPr>
        <w:pStyle w:val="ListBullet2"/>
      </w:pPr>
      <w:r w:rsidRPr="004C56D2">
        <w:t>technical literature relating to engine science</w:t>
      </w:r>
    </w:p>
    <w:p w:rsidR="00000000" w:rsidRPr="004C56D2" w:rsidP="004C56D2">
      <w:pPr>
        <w:pStyle w:val="ListBullet2"/>
      </w:pPr>
      <w:r w:rsidRPr="004C56D2">
        <w:t>technical information relating to new and emerging engine technologies.</w:t>
      </w:r>
    </w:p>
    <w:p w:rsidR="00000000" w:rsidRPr="004C56D2" w:rsidP="004C56D2">
      <w:pPr>
        <w:pStyle w:val="AllowPageBreak"/>
      </w:pPr>
    </w:p>
    <w:p w:rsidR="00000000" w:rsidRPr="004C56D2" w:rsidP="004C56D2">
      <w:pPr>
        <w:pStyle w:val="Heading1"/>
      </w:pPr>
      <w:bookmarkStart w:id="4" w:name="O_794095"/>
      <w:bookmarkEnd w:id="4"/>
      <w:r w:rsidRPr="004C56D2">
        <w:t>Assessment Conditions</w:t>
      </w:r>
    </w:p>
    <w:p w:rsidR="00000000" w:rsidRPr="004C56D2" w:rsidP="00C97D5F">
      <w:pPr>
        <w:pStyle w:val="BodyText"/>
      </w:pPr>
      <w:r w:rsidRPr="004C56D2">
        <w:t>Assessors must satisfy NVR/AQTF assessor requirements.</w:t>
      </w:r>
    </w:p>
    <w:p w:rsidR="00000000" w:rsidRPr="004C56D2" w:rsidP="00C97D5F">
      <w:pPr>
        <w:pStyle w:val="BodyText"/>
      </w:pPr>
      <w:r w:rsidRPr="004C56D2">
        <w:t>Competency is to be assessed in the workplace or a simulated environment that accurately reflects performance in a real workplace setting.</w:t>
      </w:r>
    </w:p>
    <w:p w:rsidR="00000000" w:rsidRPr="004C56D2" w:rsidP="00C97D5F">
      <w:pPr>
        <w:pStyle w:val="BodyText"/>
      </w:pPr>
      <w:r w:rsidRPr="004C56D2">
        <w:t>Assessment must include dire</w:t>
      </w:r>
      <w:r w:rsidRPr="004C56D2">
        <w:t>ct observation of tasks.</w:t>
      </w:r>
    </w:p>
    <w:p w:rsidR="00000000" w:rsidRPr="004C56D2" w:rsidP="00C97D5F">
      <w:pPr>
        <w:pStyle w:val="BodyText"/>
      </w:pPr>
      <w:r w:rsidRPr="004C56D2">
        <w:t>Where assessment of competency includes third-party evidence, individuals must provide evidence that links them to the engine science they have applied to engines that they have worked on, e.g. repair orders.</w:t>
      </w:r>
    </w:p>
    <w:p w:rsidR="00000000" w:rsidRPr="004C56D2" w:rsidP="00C97D5F">
      <w:pPr>
        <w:pStyle w:val="BodyText"/>
      </w:pPr>
      <w:r w:rsidRPr="004C56D2">
        <w:t>Asses</w:t>
      </w:r>
      <w:r w:rsidRPr="004C56D2">
        <w:t>sors must verify performance evidence through questioning on skills and knowledge to ensure correct interpretation and application.</w:t>
      </w:r>
    </w:p>
    <w:p w:rsidR="00000000" w:rsidRPr="004C56D2" w:rsidP="00C97D5F">
      <w:pPr>
        <w:pStyle w:val="BodyText"/>
      </w:pPr>
      <w:r w:rsidRPr="004C56D2">
        <w:t>The following resources must be made available:</w:t>
      </w:r>
    </w:p>
    <w:p w:rsidR="00000000" w:rsidRPr="004C56D2" w:rsidP="004C56D2">
      <w:pPr>
        <w:pStyle w:val="ListBullet"/>
      </w:pPr>
      <w:r w:rsidRPr="004C56D2">
        <w:t>automotive repair workplace or simulated workplace</w:t>
      </w:r>
    </w:p>
    <w:p w:rsidR="00000000" w:rsidRPr="004C56D2" w:rsidP="004C56D2">
      <w:pPr>
        <w:pStyle w:val="ListBullet"/>
      </w:pPr>
      <w:r w:rsidRPr="004C56D2">
        <w:t>workplace instructions</w:t>
      </w:r>
    </w:p>
    <w:p w:rsidR="00000000" w:rsidRPr="004C56D2" w:rsidP="004C56D2">
      <w:pPr>
        <w:pStyle w:val="ListBullet"/>
      </w:pPr>
      <w:r w:rsidRPr="004C56D2">
        <w:t>three different multi-cylinder engines</w:t>
      </w:r>
    </w:p>
    <w:p w:rsidR="00000000" w:rsidRPr="004C56D2" w:rsidP="004C56D2">
      <w:pPr>
        <w:pStyle w:val="ListBullet"/>
      </w:pPr>
      <w:r w:rsidRPr="004C56D2">
        <w:t>technical literature relating to engine science.</w:t>
      </w:r>
    </w:p>
    <w:p w:rsidR="00000000" w:rsidRPr="004C56D2" w:rsidP="004C56D2">
      <w:pPr>
        <w:pStyle w:val="AllowPageBreak"/>
      </w:pPr>
    </w:p>
    <w:p w:rsidR="00000000" w:rsidRPr="004C56D2" w:rsidP="004C56D2">
      <w:pPr>
        <w:pStyle w:val="Heading1"/>
      </w:pPr>
      <w:bookmarkStart w:id="5" w:name="O_794098"/>
      <w:bookmarkEnd w:id="5"/>
      <w:r w:rsidRPr="004C56D2">
        <w:t>Links</w:t>
      </w:r>
    </w:p>
    <w:p w:rsidR="00000000" w:rsidRPr="004C56D2" w:rsidP="00C97D5F">
      <w:pPr>
        <w:pStyle w:val="BodyText"/>
      </w:pPr>
      <w:r w:rsidRPr="004C56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F092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56D2" w:rsidP="00C97D5F">
      <w:pPr>
        <w:pStyle w:val="BodyText"/>
      </w:pPr>
      <w:r w:rsidRPr="004C56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F092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56D2" w:rsidP="004C56D2"/>
    <w:sectPr w:rsidSect="004C56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6D2" w:rsidRPr="00C97D5F" w:rsidP="00C97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5F" w:rsidP="004C5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D5F" w:rsidP="004C5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97D5F" w:rsidP="004C5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6D2" w:rsidRPr="00C97D5F" w:rsidP="00C97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5F" w:rsidRPr="002D2AF8" w:rsidP="004C5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AURTTE001 Apply knowledge of engine 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97D5F" w:rsidP="004C5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B46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700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F05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6D2"/>
  </w:style>
  <w:style w:type="character" w:customStyle="1" w:styleId="Heading1Char">
    <w:name w:val="Heading 1 Char"/>
    <w:basedOn w:val="DefaultParagraphFont"/>
    <w:link w:val="Heading1"/>
    <w:rsid w:val="004C5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6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56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6D2"/>
    <w:rPr>
      <w:b/>
      <w:spacing w:val="0"/>
    </w:rPr>
  </w:style>
  <w:style w:type="paragraph" w:styleId="ListBullet2">
    <w:name w:val="List Bullet 2"/>
    <w:basedOn w:val="List2"/>
    <w:rsid w:val="004C56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5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56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5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6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5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6D2"/>
    <w:rPr>
      <w:i/>
    </w:rPr>
  </w:style>
  <w:style w:type="paragraph" w:styleId="Caption">
    <w:name w:val="caption"/>
    <w:basedOn w:val="BodyText"/>
    <w:next w:val="Normal"/>
    <w:qFormat/>
    <w:rsid w:val="004C5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6D2"/>
  </w:style>
  <w:style w:type="paragraph" w:styleId="TableofFigures">
    <w:name w:val="table of figures"/>
    <w:basedOn w:val="Normal"/>
    <w:next w:val="Normal"/>
    <w:semiHidden/>
    <w:rsid w:val="004C5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6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56D2"/>
    <w:rPr>
      <w:rFonts w:ascii="Wingdings" w:hAnsi="Wingdings"/>
    </w:rPr>
  </w:style>
  <w:style w:type="paragraph" w:customStyle="1" w:styleId="TableHeading">
    <w:name w:val="Table Heading"/>
    <w:basedOn w:val="HeadingBase"/>
    <w:rsid w:val="004C5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6D2"/>
    <w:rPr>
      <w:color w:val="0033CC"/>
      <w:u w:val="none"/>
    </w:rPr>
  </w:style>
  <w:style w:type="paragraph" w:customStyle="1" w:styleId="BodyTextRight">
    <w:name w:val="Body Text Right"/>
    <w:basedOn w:val="BodyText"/>
    <w:rsid w:val="004C5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6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6D2"/>
    <w:rPr>
      <w:sz w:val="32"/>
    </w:rPr>
  </w:style>
  <w:style w:type="paragraph" w:customStyle="1" w:styleId="HeadingProcedure">
    <w:name w:val="Heading Procedure"/>
    <w:basedOn w:val="HeadingBase"/>
    <w:next w:val="Normal"/>
    <w:rsid w:val="004C5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6D2"/>
    <w:pPr>
      <w:spacing w:before="60" w:after="60"/>
    </w:pPr>
  </w:style>
  <w:style w:type="paragraph" w:styleId="ListContinue">
    <w:name w:val="List Continue"/>
    <w:basedOn w:val="List"/>
    <w:rsid w:val="004C56D2"/>
    <w:pPr>
      <w:ind w:firstLine="0"/>
    </w:pPr>
  </w:style>
  <w:style w:type="paragraph" w:customStyle="1" w:styleId="ListNote">
    <w:name w:val="List Note"/>
    <w:basedOn w:val="List"/>
    <w:rsid w:val="004C5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6D2"/>
    <w:rPr>
      <w:rFonts w:ascii="Courier New" w:hAnsi="Courier New"/>
    </w:rPr>
  </w:style>
  <w:style w:type="paragraph" w:customStyle="1" w:styleId="NoteBullet">
    <w:name w:val="Note Bullet"/>
    <w:basedOn w:val="Note"/>
    <w:rsid w:val="004C5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6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5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6D2"/>
    <w:rPr>
      <w:b/>
      <w:smallCaps/>
    </w:rPr>
  </w:style>
  <w:style w:type="paragraph" w:customStyle="1" w:styleId="TableListNumber">
    <w:name w:val="Table List Number"/>
    <w:basedOn w:val="ListNumber"/>
    <w:rsid w:val="004C5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6D2"/>
    <w:pPr>
      <w:numPr>
        <w:numId w:val="10"/>
      </w:numPr>
    </w:pPr>
  </w:style>
  <w:style w:type="paragraph" w:customStyle="1" w:styleId="ListAlpha2">
    <w:name w:val="List Alpha 2"/>
    <w:basedOn w:val="List2"/>
    <w:rsid w:val="004C56D2"/>
    <w:pPr>
      <w:numPr>
        <w:numId w:val="9"/>
      </w:numPr>
    </w:pPr>
  </w:style>
  <w:style w:type="paragraph" w:styleId="List2">
    <w:name w:val="List 2"/>
    <w:basedOn w:val="BodyText"/>
    <w:rsid w:val="004C5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6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56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56D2"/>
    <w:pPr>
      <w:numPr>
        <w:numId w:val="5"/>
      </w:numPr>
    </w:pPr>
  </w:style>
  <w:style w:type="paragraph" w:styleId="ListContinue2">
    <w:name w:val="List Continue 2"/>
    <w:basedOn w:val="List2"/>
    <w:rsid w:val="004C56D2"/>
    <w:pPr>
      <w:ind w:firstLine="0"/>
    </w:pPr>
  </w:style>
  <w:style w:type="paragraph" w:styleId="ListContinue3">
    <w:name w:val="List Continue 3"/>
    <w:basedOn w:val="List3"/>
    <w:rsid w:val="004C56D2"/>
    <w:pPr>
      <w:ind w:left="1021" w:firstLine="0"/>
    </w:pPr>
  </w:style>
  <w:style w:type="paragraph" w:styleId="ListContinue4">
    <w:name w:val="List Continue 4"/>
    <w:basedOn w:val="List4"/>
    <w:rsid w:val="004C56D2"/>
    <w:pPr>
      <w:ind w:firstLine="0"/>
    </w:pPr>
  </w:style>
  <w:style w:type="paragraph" w:styleId="ListContinue5">
    <w:name w:val="List Continue 5"/>
    <w:basedOn w:val="List5"/>
    <w:rsid w:val="004C56D2"/>
    <w:pPr>
      <w:ind w:firstLine="0"/>
    </w:pPr>
  </w:style>
  <w:style w:type="paragraph" w:styleId="ListNumber3">
    <w:name w:val="List Number 3"/>
    <w:basedOn w:val="List3"/>
    <w:rsid w:val="004C56D2"/>
    <w:pPr>
      <w:numPr>
        <w:numId w:val="6"/>
      </w:numPr>
    </w:pPr>
  </w:style>
  <w:style w:type="paragraph" w:styleId="ListNumber4">
    <w:name w:val="List Number 4"/>
    <w:basedOn w:val="List4"/>
    <w:rsid w:val="004C56D2"/>
    <w:pPr>
      <w:numPr>
        <w:numId w:val="7"/>
      </w:numPr>
    </w:pPr>
  </w:style>
  <w:style w:type="paragraph" w:styleId="ListNumber5">
    <w:name w:val="List Number 5"/>
    <w:basedOn w:val="List5"/>
    <w:rsid w:val="004C56D2"/>
    <w:pPr>
      <w:numPr>
        <w:numId w:val="8"/>
      </w:numPr>
    </w:pPr>
  </w:style>
  <w:style w:type="paragraph" w:styleId="BlockText">
    <w:name w:val="Block Text"/>
    <w:basedOn w:val="Normal"/>
    <w:rsid w:val="004C5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6D2"/>
    <w:rPr>
      <w:sz w:val="16"/>
      <w:vertAlign w:val="superscript"/>
    </w:rPr>
  </w:style>
  <w:style w:type="character" w:customStyle="1" w:styleId="Symbols">
    <w:name w:val="Symbols"/>
    <w:basedOn w:val="DefaultParagraphFont"/>
    <w:rsid w:val="004C56D2"/>
    <w:rPr>
      <w:rFonts w:ascii="Symbol" w:hAnsi="Symbol"/>
    </w:rPr>
  </w:style>
  <w:style w:type="character" w:customStyle="1" w:styleId="MenuOptions">
    <w:name w:val="Menu Options"/>
    <w:basedOn w:val="DefaultParagraphFont"/>
    <w:rsid w:val="004C5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6D2"/>
    <w:rPr>
      <w:b/>
    </w:rPr>
  </w:style>
  <w:style w:type="character" w:customStyle="1" w:styleId="Underlined">
    <w:name w:val="Underlined"/>
    <w:basedOn w:val="DefaultParagraphFont"/>
    <w:rsid w:val="004C56D2"/>
    <w:rPr>
      <w:u w:val="single"/>
    </w:rPr>
  </w:style>
  <w:style w:type="paragraph" w:customStyle="1" w:styleId="TableBodyTextRight">
    <w:name w:val="Table Body Text Right"/>
    <w:basedOn w:val="TableBodyText"/>
    <w:rsid w:val="004C5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6D2"/>
    <w:rPr>
      <w:sz w:val="18"/>
    </w:rPr>
  </w:style>
  <w:style w:type="paragraph" w:customStyle="1" w:styleId="BodySmallRight">
    <w:name w:val="Body Small Right"/>
    <w:basedOn w:val="BodyTextRight"/>
    <w:rsid w:val="004C56D2"/>
    <w:rPr>
      <w:sz w:val="18"/>
      <w:szCs w:val="18"/>
    </w:rPr>
  </w:style>
  <w:style w:type="paragraph" w:customStyle="1" w:styleId="MarginEdition">
    <w:name w:val="Margin Edition"/>
    <w:basedOn w:val="MarginNote"/>
    <w:rsid w:val="004C5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6D2"/>
    <w:rPr>
      <w:sz w:val="2"/>
      <w:szCs w:val="2"/>
    </w:rPr>
  </w:style>
  <w:style w:type="character" w:customStyle="1" w:styleId="Small">
    <w:name w:val="Small"/>
    <w:basedOn w:val="DefaultParagraphFont"/>
    <w:rsid w:val="004C56D2"/>
    <w:rPr>
      <w:sz w:val="16"/>
    </w:rPr>
  </w:style>
  <w:style w:type="paragraph" w:customStyle="1" w:styleId="WideTable">
    <w:name w:val="Wide Table"/>
    <w:basedOn w:val="Normal"/>
    <w:rsid w:val="004C5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6D2"/>
  </w:style>
  <w:style w:type="paragraph" w:styleId="Quote">
    <w:name w:val="Quote"/>
    <w:basedOn w:val="Heading1"/>
    <w:link w:val="QuoteChar"/>
    <w:qFormat/>
    <w:rsid w:val="004C5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6D2"/>
    <w:pPr>
      <w:pageBreakBefore/>
    </w:pPr>
  </w:style>
  <w:style w:type="paragraph" w:customStyle="1" w:styleId="Border">
    <w:name w:val="Border"/>
    <w:basedOn w:val="Normal"/>
    <w:qFormat/>
    <w:rsid w:val="004C5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6D2"/>
    <w:rPr>
      <w:u w:val="single"/>
    </w:rPr>
  </w:style>
  <w:style w:type="character" w:customStyle="1" w:styleId="BoldandItalics">
    <w:name w:val="Bold and Italics"/>
    <w:qFormat/>
    <w:rsid w:val="004C56D2"/>
    <w:rPr>
      <w:b/>
      <w:i/>
      <w:u w:val="none"/>
    </w:rPr>
  </w:style>
  <w:style w:type="paragraph" w:styleId="BalloonText">
    <w:name w:val="Balloon Text"/>
    <w:basedOn w:val="Normal"/>
    <w:link w:val="BalloonTextChar"/>
    <w:rsid w:val="004C5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6D2"/>
    <w:pPr>
      <w:spacing w:before="0" w:after="0"/>
    </w:pPr>
  </w:style>
  <w:style w:type="paragraph" w:customStyle="1" w:styleId="BodyTextBold">
    <w:name w:val="Body Text Bold"/>
    <w:basedOn w:val="BodyText"/>
    <w:qFormat/>
    <w:rsid w:val="004C56D2"/>
    <w:rPr>
      <w:b/>
    </w:rPr>
  </w:style>
  <w:style w:type="character" w:styleId="Hyperlink">
    <w:name w:val="Hyperlink"/>
    <w:basedOn w:val="DefaultParagraphFont"/>
    <w:uiPriority w:val="99"/>
    <w:unhideWhenUsed/>
    <w:rsid w:val="00C97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3790</Characters>
  <Application>Microsoft Office Word</Application>
  <DocSecurity>0</DocSecurity>
  <Lines>114</Lines>
  <Paragraphs>95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AURTTE001 Apply knowledge of engine science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