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33F" w:rsidP="00E80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AURTTA121 Diagnose complex system faults</w:t>
      </w:r>
      <w:r>
        <w:fldChar w:fldCharType="end"/>
      </w:r>
    </w:p>
    <w:p w:rsidR="00E8033F" w:rsidP="00E8033F">
      <w:pPr>
        <w:pStyle w:val="Version"/>
        <w:sectPr w:rsidSect="006B6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6A68" w:rsidP="006B6A68">
      <w:pPr>
        <w:pStyle w:val="SuperHeading"/>
      </w:pPr>
      <w:r w:rsidRPr="006B6A68">
        <w:t>Assessment Requirements for AURTTA121 Diagnose complex system faults</w:t>
      </w:r>
    </w:p>
    <w:p w:rsidR="00000000" w:rsidRPr="006B6A68" w:rsidP="006B6A68">
      <w:pPr>
        <w:pStyle w:val="Heading1"/>
      </w:pPr>
      <w:bookmarkStart w:id="1" w:name="O_1111011"/>
      <w:bookmarkEnd w:id="1"/>
      <w:r w:rsidRPr="006B6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B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A68" w:rsidP="006B6A68">
            <w:pPr>
              <w:pStyle w:val="BodyText"/>
            </w:pPr>
            <w:r w:rsidRPr="006B6A6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A68">
            <w:pPr>
              <w:pStyle w:val="BodyText"/>
              <w:rPr>
                <w:lang w:val="en-NZ"/>
              </w:rPr>
            </w:pPr>
            <w:r w:rsidRPr="006B6A68">
              <w:rPr>
                <w:rStyle w:val="SpecialBold"/>
              </w:rPr>
              <w:t>Comments</w:t>
            </w:r>
          </w:p>
        </w:tc>
      </w:tr>
      <w:tr w:rsidTr="006B6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6A68">
            <w:pPr>
              <w:pStyle w:val="BodyText"/>
              <w:rPr>
                <w:lang w:val="en-NZ"/>
              </w:rPr>
            </w:pPr>
            <w:r w:rsidRPr="006B6A6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6A68" w:rsidP="006B6A68">
            <w:pPr>
              <w:pStyle w:val="BodyText"/>
            </w:pPr>
            <w:r w:rsidRPr="006B6A68">
              <w:t>This version first released with AUR Automotive Retail, Service and Repair Training Package Version 6.0</w:t>
            </w:r>
          </w:p>
        </w:tc>
      </w:tr>
    </w:tbl>
    <w:p w:rsidR="00000000" w:rsidRPr="006B6A68" w:rsidP="006B6A68">
      <w:pPr>
        <w:pStyle w:val="BodyText"/>
      </w:pPr>
    </w:p>
    <w:p w:rsidR="00000000" w:rsidRPr="006B6A68" w:rsidP="006B6A68">
      <w:pPr>
        <w:pStyle w:val="AllowPageBreak"/>
      </w:pPr>
    </w:p>
    <w:p w:rsidR="00000000" w:rsidRPr="006B6A68" w:rsidP="006B6A68">
      <w:pPr>
        <w:pStyle w:val="Heading1"/>
      </w:pPr>
      <w:bookmarkStart w:id="2" w:name="O_1111014"/>
      <w:bookmarkEnd w:id="2"/>
      <w:r w:rsidRPr="006B6A68">
        <w:t>Performance Evidence</w:t>
      </w:r>
    </w:p>
    <w:p w:rsidR="00000000" w:rsidRPr="006B6A68" w:rsidP="00E8033F">
      <w:pPr>
        <w:pStyle w:val="BodyText"/>
      </w:pPr>
      <w:r w:rsidRPr="006B6A68">
        <w:t>The candidate must demonstrate the ability to complete the tasks outlined in the elements, performance criteria and foundation skills of this unit, including evidence of the ability to:</w:t>
      </w:r>
    </w:p>
    <w:p w:rsidR="00000000" w:rsidRPr="006B6A68" w:rsidP="006B6A68">
      <w:pPr>
        <w:pStyle w:val="ListBullet"/>
      </w:pPr>
      <w:r w:rsidRPr="006B6A68">
        <w:t>diagnose complex system faults on three</w:t>
      </w:r>
      <w:r w:rsidRPr="006B6A68">
        <w:t xml:space="preserve"> different vehicles, machinery or vessels in which the work must involve the following complex faults, each on a separate vehicle, piece of machinery or vessel:</w:t>
      </w:r>
    </w:p>
    <w:p w:rsidR="00000000" w:rsidRPr="006B6A68" w:rsidP="006B6A68">
      <w:pPr>
        <w:pStyle w:val="ListBullet2"/>
      </w:pPr>
      <w:r w:rsidRPr="006B6A68">
        <w:t>one fault that is in a complex system that integrates two or more automotive systems</w:t>
      </w:r>
    </w:p>
    <w:p w:rsidR="00000000" w:rsidRPr="006B6A68" w:rsidP="006B6A68">
      <w:pPr>
        <w:pStyle w:val="ListBullet2"/>
      </w:pPr>
      <w:r w:rsidRPr="006B6A68">
        <w:t>one fault that incorporates three or more mechanical, hydraulic, pneumatic, electrical or electronic sub-systems</w:t>
      </w:r>
    </w:p>
    <w:p w:rsidR="00000000" w:rsidRPr="006B6A68" w:rsidP="006B6A68">
      <w:pPr>
        <w:pStyle w:val="ListBullet"/>
      </w:pPr>
      <w:r w:rsidRPr="006B6A68">
        <w:t>develop a testing strategy to diagnose the cause of the complex faults in the work above.</w:t>
      </w:r>
    </w:p>
    <w:p w:rsidR="00000000" w:rsidRPr="006B6A68" w:rsidP="006B6A68">
      <w:pPr>
        <w:pStyle w:val="AllowPageBreak"/>
      </w:pPr>
    </w:p>
    <w:p w:rsidR="00000000" w:rsidRPr="006B6A68" w:rsidP="006B6A68">
      <w:pPr>
        <w:pStyle w:val="Heading1"/>
      </w:pPr>
      <w:bookmarkStart w:id="3" w:name="O_1111013"/>
      <w:bookmarkEnd w:id="3"/>
      <w:r w:rsidRPr="006B6A68">
        <w:t>Knowledge Evidence</w:t>
      </w:r>
    </w:p>
    <w:p w:rsidR="00000000" w:rsidRPr="006B6A68" w:rsidP="00E8033F">
      <w:pPr>
        <w:pStyle w:val="BodyText"/>
      </w:pPr>
      <w:r w:rsidRPr="006B6A68">
        <w:t xml:space="preserve">The candidate </w:t>
      </w:r>
      <w:r w:rsidRPr="006B6A68">
        <w:t>must be able to demonstrate knowledge to complete the tasks outlined in the elements, performance criteria and foundation skills of this unit, including knowledge of:</w:t>
      </w:r>
    </w:p>
    <w:p w:rsidR="00000000" w:rsidRPr="006B6A68" w:rsidP="006B6A68">
      <w:pPr>
        <w:pStyle w:val="ListBullet"/>
      </w:pPr>
      <w:r w:rsidRPr="006B6A68">
        <w:t>methods to locate and interpret information required to diagnose complex faults, includi</w:t>
      </w:r>
      <w:r w:rsidRPr="006B6A68">
        <w:t>ng:</w:t>
      </w:r>
    </w:p>
    <w:p w:rsidR="00000000" w:rsidRPr="006B6A68" w:rsidP="006B6A68">
      <w:pPr>
        <w:pStyle w:val="ListBullet2"/>
      </w:pPr>
      <w:r w:rsidRPr="006B6A68">
        <w:t>manufacturer specifications and other technical information</w:t>
      </w:r>
    </w:p>
    <w:p w:rsidR="00000000" w:rsidRPr="006B6A68" w:rsidP="006B6A68">
      <w:pPr>
        <w:pStyle w:val="ListBullet"/>
      </w:pPr>
      <w:r w:rsidRPr="006B6A68">
        <w:t>workplace procedures required to diagnose complex faults, including:</w:t>
      </w:r>
    </w:p>
    <w:p w:rsidR="00000000" w:rsidRPr="006B6A68" w:rsidP="006B6A68">
      <w:pPr>
        <w:pStyle w:val="ListBullet2"/>
      </w:pPr>
      <w:r w:rsidRPr="006B6A68">
        <w:t xml:space="preserve">establishing the serviceability of tools and equipment </w:t>
      </w:r>
    </w:p>
    <w:p w:rsidR="00000000" w:rsidRPr="006B6A68" w:rsidP="006B6A68">
      <w:pPr>
        <w:pStyle w:val="ListBullet2"/>
      </w:pPr>
      <w:r w:rsidRPr="006B6A68">
        <w:t>documentation procedures</w:t>
      </w:r>
    </w:p>
    <w:p w:rsidR="00000000" w:rsidRPr="006B6A68" w:rsidP="006B6A68">
      <w:pPr>
        <w:pStyle w:val="ListBullet2"/>
      </w:pPr>
      <w:r w:rsidRPr="006B6A68">
        <w:t>housekeeping procedures, including:</w:t>
      </w:r>
    </w:p>
    <w:p w:rsidR="00000000" w:rsidRPr="006B6A68" w:rsidP="006B6A68">
      <w:pPr>
        <w:pStyle w:val="ListBullet3"/>
      </w:pPr>
      <w:r w:rsidRPr="006B6A68">
        <w:t>ex</w:t>
      </w:r>
      <w:r w:rsidRPr="006B6A68">
        <w:t>amination of tools and equipment</w:t>
      </w:r>
    </w:p>
    <w:p w:rsidR="00000000" w:rsidRPr="006B6A68" w:rsidP="006B6A68">
      <w:pPr>
        <w:pStyle w:val="ListBullet3"/>
      </w:pPr>
      <w:r w:rsidRPr="006B6A68">
        <w:t>storage of equipment</w:t>
      </w:r>
    </w:p>
    <w:p w:rsidR="00000000" w:rsidRPr="006B6A68" w:rsidP="006B6A68">
      <w:pPr>
        <w:pStyle w:val="ListBullet3"/>
      </w:pPr>
      <w:r w:rsidRPr="006B6A68">
        <w:t>identification, tagging and isolation of faulty equipment</w:t>
      </w:r>
    </w:p>
    <w:p w:rsidR="00000000" w:rsidRPr="006B6A68" w:rsidP="006B6A68">
      <w:pPr>
        <w:pStyle w:val="ListBullet3"/>
      </w:pPr>
      <w:r w:rsidRPr="006B6A68">
        <w:t>safe disposal of materials</w:t>
      </w:r>
    </w:p>
    <w:p w:rsidR="00000000" w:rsidRPr="006B6A68" w:rsidP="006B6A68">
      <w:pPr>
        <w:pStyle w:val="ListBullet3"/>
      </w:pPr>
      <w:r w:rsidRPr="006B6A68">
        <w:t>recycling procedures</w:t>
      </w:r>
    </w:p>
    <w:p w:rsidR="00000000" w:rsidRPr="006B6A68" w:rsidP="006B6A68">
      <w:pPr>
        <w:pStyle w:val="ListBullet"/>
      </w:pPr>
      <w:r w:rsidRPr="006B6A68">
        <w:t xml:space="preserve">workplace health and safety (WHS) requirements relating to diagnosing complex system faults </w:t>
      </w:r>
      <w:r w:rsidRPr="006B6A68">
        <w:t>in vehicles, vessels or machinery, including:</w:t>
      </w:r>
    </w:p>
    <w:p w:rsidR="00000000" w:rsidRPr="006B6A68" w:rsidP="006B6A68">
      <w:pPr>
        <w:pStyle w:val="ListBullet2"/>
      </w:pPr>
      <w:r w:rsidRPr="006B6A68">
        <w:t>working safely with the systems being tested</w:t>
      </w:r>
    </w:p>
    <w:p w:rsidR="00000000" w:rsidRPr="006B6A68" w:rsidP="006B6A68">
      <w:pPr>
        <w:pStyle w:val="ListBullet2"/>
      </w:pPr>
      <w:r w:rsidRPr="006B6A68">
        <w:t>selecting and using personal protective equipment (PPE)</w:t>
      </w:r>
    </w:p>
    <w:p w:rsidR="00000000" w:rsidRPr="006B6A68" w:rsidP="006B6A68">
      <w:pPr>
        <w:pStyle w:val="ListBullet2"/>
      </w:pPr>
      <w:r w:rsidRPr="006B6A68">
        <w:t>safely using tools and equipment</w:t>
      </w:r>
    </w:p>
    <w:p w:rsidR="00000000" w:rsidRPr="006B6A68" w:rsidP="006B6A68">
      <w:pPr>
        <w:pStyle w:val="ListBullet"/>
      </w:pPr>
      <w:r w:rsidRPr="006B6A68">
        <w:t>types and operation of complex systems, including:</w:t>
      </w:r>
    </w:p>
    <w:p w:rsidR="00000000" w:rsidRPr="006B6A68" w:rsidP="006B6A68">
      <w:pPr>
        <w:pStyle w:val="ListBullet2"/>
      </w:pPr>
      <w:r w:rsidRPr="006B6A68">
        <w:t>systems that integrates two or more automotive systems</w:t>
      </w:r>
    </w:p>
    <w:p w:rsidR="00000000" w:rsidRPr="006B6A68" w:rsidP="006B6A68">
      <w:pPr>
        <w:pStyle w:val="ListBullet2"/>
      </w:pPr>
      <w:r w:rsidRPr="006B6A68">
        <w:t>systems that incorporate three or more mechanical, hydraulic, pneumatic, electrical or electronic sub-systems</w:t>
      </w:r>
    </w:p>
    <w:p w:rsidR="00000000" w:rsidRPr="006B6A68" w:rsidP="006B6A68">
      <w:pPr>
        <w:pStyle w:val="ListBullet"/>
      </w:pPr>
      <w:r w:rsidRPr="006B6A68">
        <w:t>diagnostic procedures for complex systems, including stages within the diagnostic procedur</w:t>
      </w:r>
      <w:r w:rsidRPr="006B6A68">
        <w:t>e</w:t>
      </w:r>
    </w:p>
    <w:p w:rsidR="00000000" w:rsidRPr="006B6A68" w:rsidP="006B6A68">
      <w:pPr>
        <w:pStyle w:val="ListBullet"/>
      </w:pPr>
      <w:r w:rsidRPr="006B6A68">
        <w:t>methods of gathering information on complex system faults, including:</w:t>
      </w:r>
    </w:p>
    <w:p w:rsidR="00000000" w:rsidRPr="006B6A68" w:rsidP="006B6A68">
      <w:pPr>
        <w:pStyle w:val="ListBullet2"/>
      </w:pPr>
      <w:r w:rsidRPr="006B6A68">
        <w:t>customer questioning techniques to provide a full overview of all faults and conditions under which they occur</w:t>
      </w:r>
    </w:p>
    <w:p w:rsidR="00000000" w:rsidRPr="006B6A68" w:rsidP="006B6A68">
      <w:pPr>
        <w:pStyle w:val="ListBullet"/>
      </w:pPr>
      <w:r w:rsidRPr="006B6A68">
        <w:t>types and applications of diagnostic flow charts</w:t>
      </w:r>
    </w:p>
    <w:p w:rsidR="00000000" w:rsidRPr="006B6A68" w:rsidP="006B6A68">
      <w:pPr>
        <w:pStyle w:val="ListBullet"/>
      </w:pPr>
      <w:r w:rsidRPr="006B6A68">
        <w:t>key features and limit</w:t>
      </w:r>
      <w:r w:rsidRPr="006B6A68">
        <w:t>ations of diagnostic tools, including:</w:t>
      </w:r>
    </w:p>
    <w:p w:rsidR="00000000" w:rsidRPr="006B6A68" w:rsidP="006B6A68">
      <w:pPr>
        <w:pStyle w:val="ListBullet2"/>
      </w:pPr>
      <w:r w:rsidRPr="006B6A68">
        <w:t>multimeters</w:t>
      </w:r>
    </w:p>
    <w:p w:rsidR="00000000" w:rsidRPr="006B6A68" w:rsidP="006B6A68">
      <w:pPr>
        <w:pStyle w:val="ListBullet2"/>
      </w:pPr>
      <w:r w:rsidRPr="006B6A68">
        <w:t>scan tools, including:</w:t>
      </w:r>
    </w:p>
    <w:p w:rsidR="00000000" w:rsidRPr="006B6A68" w:rsidP="006B6A68">
      <w:pPr>
        <w:pStyle w:val="ListBullet3"/>
      </w:pPr>
      <w:r w:rsidRPr="006B6A68">
        <w:t>diagnosis trouble codes (DTC) and the conditions that caused the code to be set</w:t>
      </w:r>
    </w:p>
    <w:p w:rsidR="00000000" w:rsidRPr="006B6A68" w:rsidP="006B6A68">
      <w:pPr>
        <w:pStyle w:val="ListBullet3"/>
      </w:pPr>
      <w:r w:rsidRPr="006B6A68">
        <w:t>live data</w:t>
      </w:r>
    </w:p>
    <w:p w:rsidR="00000000" w:rsidRPr="006B6A68" w:rsidP="006B6A68">
      <w:pPr>
        <w:pStyle w:val="ListBullet3"/>
      </w:pPr>
      <w:r w:rsidRPr="006B6A68">
        <w:t>snap shots</w:t>
      </w:r>
    </w:p>
    <w:p w:rsidR="00000000" w:rsidRPr="006B6A68" w:rsidP="006B6A68">
      <w:pPr>
        <w:pStyle w:val="ListBullet2"/>
      </w:pPr>
      <w:r w:rsidRPr="006B6A68">
        <w:t>oscilloscopes</w:t>
      </w:r>
    </w:p>
    <w:p w:rsidR="00000000" w:rsidRPr="006B6A68" w:rsidP="006B6A68">
      <w:pPr>
        <w:pStyle w:val="ListBullet2"/>
      </w:pPr>
      <w:r w:rsidRPr="006B6A68">
        <w:t>mechanical, hydraulic and pneumatic test equipment</w:t>
      </w:r>
    </w:p>
    <w:p w:rsidR="00000000" w:rsidRPr="006B6A68" w:rsidP="006B6A68">
      <w:pPr>
        <w:pStyle w:val="ListBullet"/>
      </w:pPr>
      <w:r w:rsidRPr="006B6A68">
        <w:t>methods of differentiating between fault symptoms and fault cause.</w:t>
      </w:r>
    </w:p>
    <w:p w:rsidR="00000000" w:rsidRPr="006B6A68" w:rsidP="006B6A68">
      <w:pPr>
        <w:pStyle w:val="AllowPageBreak"/>
      </w:pPr>
    </w:p>
    <w:p w:rsidR="00000000" w:rsidRPr="006B6A68" w:rsidP="006B6A68">
      <w:pPr>
        <w:pStyle w:val="Heading1"/>
      </w:pPr>
      <w:bookmarkStart w:id="4" w:name="O_1111012"/>
      <w:bookmarkEnd w:id="4"/>
      <w:r w:rsidRPr="006B6A68">
        <w:t>Assessment Conditions</w:t>
      </w:r>
    </w:p>
    <w:p w:rsidR="00000000" w:rsidRPr="006B6A68" w:rsidP="00E8033F">
      <w:pPr>
        <w:pStyle w:val="BodyText"/>
      </w:pPr>
      <w:r w:rsidRPr="006B6A68">
        <w:t>Competency is to be assessed in the workplace or a simulated environment that accurately reflects performance in a real workplace setting.</w:t>
      </w:r>
    </w:p>
    <w:p w:rsidR="00000000" w:rsidRPr="006B6A68" w:rsidP="00E8033F">
      <w:pPr>
        <w:pStyle w:val="BodyText"/>
      </w:pPr>
      <w:r w:rsidRPr="006B6A68">
        <w:t>Assessment must include direct observation of tasks.</w:t>
      </w:r>
    </w:p>
    <w:p w:rsidR="00000000" w:rsidRPr="006B6A68" w:rsidP="00E8033F">
      <w:pPr>
        <w:pStyle w:val="BodyText"/>
      </w:pPr>
      <w:r w:rsidRPr="006B6A68">
        <w:t>Where assessment of competency includes third-party evidence, individuals must provide evidence that links them to the vehicle or machinery complex system faults that they have diagnosed, e.g. repair ord</w:t>
      </w:r>
      <w:r w:rsidRPr="006B6A68">
        <w:t>ers.</w:t>
      </w:r>
    </w:p>
    <w:p w:rsidR="00000000" w:rsidRPr="006B6A68" w:rsidP="00E8033F">
      <w:pPr>
        <w:pStyle w:val="BodyText"/>
      </w:pPr>
      <w:r w:rsidRPr="006B6A68">
        <w:t>Assessors must verify performance evidence through questioning on skills and knowledge to ensure correct interpretation and application.</w:t>
      </w:r>
    </w:p>
    <w:p w:rsidR="00000000" w:rsidRPr="006B6A68" w:rsidP="00E8033F">
      <w:pPr>
        <w:pStyle w:val="BodyText"/>
      </w:pPr>
      <w:r w:rsidRPr="006B6A68">
        <w:t>The following resources must be made available:</w:t>
      </w:r>
    </w:p>
    <w:p w:rsidR="00000000" w:rsidRPr="006B6A68" w:rsidP="006B6A68">
      <w:pPr>
        <w:pStyle w:val="ListBullet"/>
      </w:pPr>
      <w:r w:rsidRPr="006B6A68">
        <w:t>automotive repair workplace or simulated workplace</w:t>
      </w:r>
    </w:p>
    <w:p w:rsidR="00000000" w:rsidRPr="006B6A68" w:rsidP="006B6A68">
      <w:pPr>
        <w:pStyle w:val="ListBullet"/>
      </w:pPr>
      <w:r w:rsidRPr="006B6A68">
        <w:t>workplace inst</w:t>
      </w:r>
      <w:r w:rsidRPr="006B6A68">
        <w:t>ructions</w:t>
      </w:r>
    </w:p>
    <w:p w:rsidR="00000000" w:rsidRPr="006B6A68" w:rsidP="006B6A68">
      <w:pPr>
        <w:pStyle w:val="ListBullet"/>
      </w:pPr>
      <w:r w:rsidRPr="006B6A68">
        <w:t>manufacturer system specifications</w:t>
      </w:r>
    </w:p>
    <w:p w:rsidR="00000000" w:rsidRPr="006B6A68" w:rsidP="006B6A68">
      <w:pPr>
        <w:pStyle w:val="ListBullet"/>
      </w:pPr>
      <w:r w:rsidRPr="006B6A68">
        <w:t>three different vehicles, vessels or machinery that have the complex system faults specified in the performance evidence</w:t>
      </w:r>
    </w:p>
    <w:p w:rsidR="00000000" w:rsidRPr="006B6A68" w:rsidP="006B6A68">
      <w:pPr>
        <w:pStyle w:val="ListBullet"/>
      </w:pPr>
      <w:r w:rsidRPr="006B6A68">
        <w:t>tools, equipment and materials appropriate for diagnosing complex system faults in vehicles</w:t>
      </w:r>
      <w:r w:rsidRPr="006B6A68">
        <w:t>, vessels or machinery.</w:t>
      </w:r>
    </w:p>
    <w:p w:rsidR="00000000" w:rsidRPr="006B6A68" w:rsidP="006B6A68">
      <w:pPr>
        <w:pStyle w:val="List"/>
      </w:pPr>
    </w:p>
    <w:p w:rsidR="00000000" w:rsidRPr="006B6A68" w:rsidP="00E8033F">
      <w:pPr>
        <w:pStyle w:val="BodyText"/>
      </w:pPr>
      <w:r w:rsidRPr="006B6A68">
        <w:t>Assessors of this unit must satisfy the requirements for assessors in applicable vocational education and training legislation, frameworks and/or standards.</w:t>
      </w:r>
    </w:p>
    <w:p w:rsidR="00000000" w:rsidRPr="006B6A68" w:rsidP="006B6A68">
      <w:pPr>
        <w:pStyle w:val="Heading1"/>
      </w:pPr>
      <w:bookmarkStart w:id="5" w:name="O_1111010"/>
      <w:bookmarkEnd w:id="5"/>
      <w:r w:rsidRPr="006B6A68">
        <w:t>Links</w:t>
      </w:r>
    </w:p>
    <w:p w:rsidR="00000000" w:rsidRPr="006B6A68" w:rsidP="00E8033F">
      <w:pPr>
        <w:pStyle w:val="BodyText"/>
      </w:pPr>
      <w:r w:rsidRPr="006B6A68">
        <w:t>Companion Volume Implementation Guide is found on</w:t>
      </w:r>
      <w:r w:rsidRPr="006B6A68">
        <w:t xml:space="preserve">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39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6A68" w:rsidP="006B6A68"/>
    <w:sectPr w:rsidSect="006B6A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8" w:rsidRPr="00E8033F" w:rsidP="00E80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3F" w:rsidP="006B6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33F" w:rsidP="006B6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8033F" w:rsidP="006B6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6A68" w:rsidRPr="00E8033F" w:rsidP="00E80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33F" w:rsidRPr="002D2AF8" w:rsidP="006B6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AURTTA121 Diagnose complex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8033F" w:rsidP="006B6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D6E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24F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CA5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6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6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6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6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6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6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6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6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6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6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6A68"/>
  </w:style>
  <w:style w:type="character" w:customStyle="1" w:styleId="Heading1Char">
    <w:name w:val="Heading 1 Char"/>
    <w:basedOn w:val="DefaultParagraphFont"/>
    <w:link w:val="Heading1"/>
    <w:rsid w:val="006B6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6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6A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6A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6A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6A68"/>
    <w:rPr>
      <w:b/>
      <w:spacing w:val="0"/>
    </w:rPr>
  </w:style>
  <w:style w:type="paragraph" w:styleId="ListBullet2">
    <w:name w:val="List Bullet 2"/>
    <w:basedOn w:val="List2"/>
    <w:rsid w:val="006B6A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6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6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6A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6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6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6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6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6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6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6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6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6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6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6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6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6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6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6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6A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6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6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6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6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6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6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6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6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6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6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6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6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6A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6A68"/>
    <w:rPr>
      <w:i/>
    </w:rPr>
  </w:style>
  <w:style w:type="paragraph" w:styleId="Caption">
    <w:name w:val="caption"/>
    <w:basedOn w:val="BodyText"/>
    <w:next w:val="Normal"/>
    <w:qFormat/>
    <w:rsid w:val="006B6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6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6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6A68"/>
  </w:style>
  <w:style w:type="paragraph" w:styleId="TableofFigures">
    <w:name w:val="table of figures"/>
    <w:basedOn w:val="Normal"/>
    <w:next w:val="Normal"/>
    <w:semiHidden/>
    <w:rsid w:val="006B6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6A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6A68"/>
    <w:rPr>
      <w:rFonts w:ascii="Wingdings" w:hAnsi="Wingdings"/>
    </w:rPr>
  </w:style>
  <w:style w:type="paragraph" w:customStyle="1" w:styleId="TableHeading">
    <w:name w:val="Table Heading"/>
    <w:basedOn w:val="HeadingBase"/>
    <w:rsid w:val="006B6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6A68"/>
    <w:rPr>
      <w:color w:val="0033CC"/>
      <w:u w:val="none"/>
    </w:rPr>
  </w:style>
  <w:style w:type="paragraph" w:customStyle="1" w:styleId="BodyTextRight">
    <w:name w:val="Body Text Right"/>
    <w:basedOn w:val="BodyText"/>
    <w:rsid w:val="006B6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6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6A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6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6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6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6A68"/>
    <w:rPr>
      <w:sz w:val="32"/>
    </w:rPr>
  </w:style>
  <w:style w:type="paragraph" w:customStyle="1" w:styleId="HeadingProcedure">
    <w:name w:val="Heading Procedure"/>
    <w:basedOn w:val="HeadingBase"/>
    <w:next w:val="Normal"/>
    <w:rsid w:val="006B6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6A68"/>
    <w:pPr>
      <w:spacing w:before="60" w:after="60"/>
    </w:pPr>
  </w:style>
  <w:style w:type="paragraph" w:styleId="ListContinue">
    <w:name w:val="List Continue"/>
    <w:basedOn w:val="List"/>
    <w:rsid w:val="006B6A68"/>
    <w:pPr>
      <w:ind w:firstLine="0"/>
    </w:pPr>
  </w:style>
  <w:style w:type="paragraph" w:customStyle="1" w:styleId="ListNote">
    <w:name w:val="List Note"/>
    <w:basedOn w:val="List"/>
    <w:rsid w:val="006B6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6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6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6A68"/>
    <w:rPr>
      <w:rFonts w:ascii="Courier New" w:hAnsi="Courier New"/>
    </w:rPr>
  </w:style>
  <w:style w:type="paragraph" w:customStyle="1" w:styleId="NoteBullet">
    <w:name w:val="Note Bullet"/>
    <w:basedOn w:val="Note"/>
    <w:rsid w:val="006B6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6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6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6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6A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6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6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6A68"/>
    <w:rPr>
      <w:b/>
      <w:smallCaps/>
    </w:rPr>
  </w:style>
  <w:style w:type="paragraph" w:customStyle="1" w:styleId="TableListNumber">
    <w:name w:val="Table List Number"/>
    <w:basedOn w:val="ListNumber"/>
    <w:rsid w:val="006B6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6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6A68"/>
    <w:pPr>
      <w:numPr>
        <w:numId w:val="10"/>
      </w:numPr>
    </w:pPr>
  </w:style>
  <w:style w:type="paragraph" w:customStyle="1" w:styleId="ListAlpha2">
    <w:name w:val="List Alpha 2"/>
    <w:basedOn w:val="List2"/>
    <w:rsid w:val="006B6A68"/>
    <w:pPr>
      <w:numPr>
        <w:numId w:val="9"/>
      </w:numPr>
    </w:pPr>
  </w:style>
  <w:style w:type="paragraph" w:styleId="List2">
    <w:name w:val="List 2"/>
    <w:basedOn w:val="BodyText"/>
    <w:rsid w:val="006B6A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6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6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6A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6A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6A68"/>
    <w:pPr>
      <w:numPr>
        <w:numId w:val="5"/>
      </w:numPr>
    </w:pPr>
  </w:style>
  <w:style w:type="paragraph" w:styleId="ListContinue2">
    <w:name w:val="List Continue 2"/>
    <w:basedOn w:val="List2"/>
    <w:rsid w:val="006B6A68"/>
    <w:pPr>
      <w:ind w:firstLine="0"/>
    </w:pPr>
  </w:style>
  <w:style w:type="paragraph" w:styleId="ListContinue3">
    <w:name w:val="List Continue 3"/>
    <w:basedOn w:val="List3"/>
    <w:rsid w:val="006B6A68"/>
    <w:pPr>
      <w:ind w:left="1021" w:firstLine="0"/>
    </w:pPr>
  </w:style>
  <w:style w:type="paragraph" w:styleId="ListContinue4">
    <w:name w:val="List Continue 4"/>
    <w:basedOn w:val="List4"/>
    <w:rsid w:val="006B6A68"/>
    <w:pPr>
      <w:ind w:firstLine="0"/>
    </w:pPr>
  </w:style>
  <w:style w:type="paragraph" w:styleId="ListContinue5">
    <w:name w:val="List Continue 5"/>
    <w:basedOn w:val="List5"/>
    <w:rsid w:val="006B6A68"/>
    <w:pPr>
      <w:ind w:firstLine="0"/>
    </w:pPr>
  </w:style>
  <w:style w:type="paragraph" w:styleId="ListNumber3">
    <w:name w:val="List Number 3"/>
    <w:basedOn w:val="List3"/>
    <w:rsid w:val="006B6A68"/>
    <w:pPr>
      <w:numPr>
        <w:numId w:val="6"/>
      </w:numPr>
    </w:pPr>
  </w:style>
  <w:style w:type="paragraph" w:styleId="ListNumber4">
    <w:name w:val="List Number 4"/>
    <w:basedOn w:val="List4"/>
    <w:rsid w:val="006B6A68"/>
    <w:pPr>
      <w:numPr>
        <w:numId w:val="7"/>
      </w:numPr>
    </w:pPr>
  </w:style>
  <w:style w:type="paragraph" w:styleId="ListNumber5">
    <w:name w:val="List Number 5"/>
    <w:basedOn w:val="List5"/>
    <w:rsid w:val="006B6A68"/>
    <w:pPr>
      <w:numPr>
        <w:numId w:val="8"/>
      </w:numPr>
    </w:pPr>
  </w:style>
  <w:style w:type="paragraph" w:styleId="BlockText">
    <w:name w:val="Block Text"/>
    <w:basedOn w:val="Normal"/>
    <w:rsid w:val="006B6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6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6A68"/>
    <w:rPr>
      <w:sz w:val="16"/>
      <w:vertAlign w:val="superscript"/>
    </w:rPr>
  </w:style>
  <w:style w:type="character" w:customStyle="1" w:styleId="Symbols">
    <w:name w:val="Symbols"/>
    <w:basedOn w:val="DefaultParagraphFont"/>
    <w:rsid w:val="006B6A68"/>
    <w:rPr>
      <w:rFonts w:ascii="Symbol" w:hAnsi="Symbol"/>
    </w:rPr>
  </w:style>
  <w:style w:type="character" w:customStyle="1" w:styleId="MenuOptions">
    <w:name w:val="Menu Options"/>
    <w:basedOn w:val="DefaultParagraphFont"/>
    <w:rsid w:val="006B6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6A68"/>
    <w:rPr>
      <w:b/>
    </w:rPr>
  </w:style>
  <w:style w:type="character" w:customStyle="1" w:styleId="Underlined">
    <w:name w:val="Underlined"/>
    <w:basedOn w:val="DefaultParagraphFont"/>
    <w:rsid w:val="006B6A68"/>
    <w:rPr>
      <w:u w:val="single"/>
    </w:rPr>
  </w:style>
  <w:style w:type="paragraph" w:customStyle="1" w:styleId="TableBodyTextRight">
    <w:name w:val="Table Body Text Right"/>
    <w:basedOn w:val="TableBodyText"/>
    <w:rsid w:val="006B6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6A68"/>
    <w:rPr>
      <w:sz w:val="18"/>
    </w:rPr>
  </w:style>
  <w:style w:type="paragraph" w:customStyle="1" w:styleId="BodySmallRight">
    <w:name w:val="Body Small Right"/>
    <w:basedOn w:val="BodyTextRight"/>
    <w:rsid w:val="006B6A68"/>
    <w:rPr>
      <w:sz w:val="18"/>
      <w:szCs w:val="18"/>
    </w:rPr>
  </w:style>
  <w:style w:type="paragraph" w:customStyle="1" w:styleId="MarginEdition">
    <w:name w:val="Margin Edition"/>
    <w:basedOn w:val="MarginNote"/>
    <w:rsid w:val="006B6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6A68"/>
    <w:rPr>
      <w:sz w:val="2"/>
      <w:szCs w:val="2"/>
    </w:rPr>
  </w:style>
  <w:style w:type="character" w:customStyle="1" w:styleId="Small">
    <w:name w:val="Small"/>
    <w:basedOn w:val="DefaultParagraphFont"/>
    <w:rsid w:val="006B6A68"/>
    <w:rPr>
      <w:sz w:val="16"/>
    </w:rPr>
  </w:style>
  <w:style w:type="paragraph" w:customStyle="1" w:styleId="WideTable">
    <w:name w:val="Wide Table"/>
    <w:basedOn w:val="Normal"/>
    <w:rsid w:val="006B6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6A68"/>
  </w:style>
  <w:style w:type="paragraph" w:styleId="Quote">
    <w:name w:val="Quote"/>
    <w:basedOn w:val="Heading1"/>
    <w:link w:val="QuoteChar"/>
    <w:qFormat/>
    <w:rsid w:val="006B6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6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6A68"/>
    <w:pPr>
      <w:pageBreakBefore/>
    </w:pPr>
  </w:style>
  <w:style w:type="paragraph" w:customStyle="1" w:styleId="Border">
    <w:name w:val="Border"/>
    <w:basedOn w:val="Normal"/>
    <w:qFormat/>
    <w:rsid w:val="006B6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6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6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6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6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6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6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6A68"/>
    <w:rPr>
      <w:u w:val="single"/>
    </w:rPr>
  </w:style>
  <w:style w:type="character" w:customStyle="1" w:styleId="BoldandItalics">
    <w:name w:val="Bold and Italics"/>
    <w:qFormat/>
    <w:rsid w:val="006B6A68"/>
    <w:rPr>
      <w:b/>
      <w:i/>
      <w:u w:val="none"/>
    </w:rPr>
  </w:style>
  <w:style w:type="paragraph" w:styleId="BalloonText">
    <w:name w:val="Balloon Text"/>
    <w:basedOn w:val="Normal"/>
    <w:link w:val="BalloonTextChar"/>
    <w:rsid w:val="006B6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6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6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6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6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6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6A68"/>
    <w:pPr>
      <w:spacing w:before="0" w:after="0"/>
    </w:pPr>
  </w:style>
  <w:style w:type="paragraph" w:customStyle="1" w:styleId="BodyTextBold">
    <w:name w:val="Body Text Bold"/>
    <w:basedOn w:val="BodyText"/>
    <w:qFormat/>
    <w:rsid w:val="006B6A68"/>
    <w:rPr>
      <w:b/>
    </w:rPr>
  </w:style>
  <w:style w:type="character" w:styleId="Hyperlink">
    <w:name w:val="Hyperlink"/>
    <w:basedOn w:val="DefaultParagraphFont"/>
    <w:uiPriority w:val="99"/>
    <w:unhideWhenUsed/>
    <w:rsid w:val="00E80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3709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AURTTA121 Diagnose complex system faults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