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38A" w:rsidP="007A3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AURTTA021 Diagnose complex system faults</w:t>
      </w:r>
      <w:r>
        <w:fldChar w:fldCharType="end"/>
      </w:r>
    </w:p>
    <w:p w:rsidR="007A338A" w:rsidP="007A338A">
      <w:pPr>
        <w:pStyle w:val="Version"/>
        <w:sectPr w:rsidSect="00EC06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66E" w:rsidP="00EC066E">
      <w:pPr>
        <w:pStyle w:val="SuperHeading"/>
      </w:pPr>
      <w:r w:rsidRPr="00EC066E">
        <w:t>Assessment Requirements for AURTTA021 Diagnose complex system faults</w:t>
      </w:r>
    </w:p>
    <w:p w:rsidR="00000000" w:rsidRPr="00EC066E" w:rsidP="00EC066E">
      <w:pPr>
        <w:pStyle w:val="Heading1"/>
      </w:pPr>
      <w:bookmarkStart w:id="1" w:name="O_795251"/>
      <w:bookmarkEnd w:id="1"/>
      <w:r w:rsidRPr="00EC066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3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6E" w:rsidP="00EC066E">
            <w:pPr>
              <w:pStyle w:val="BodyText"/>
            </w:pPr>
            <w:r w:rsidRPr="00EC066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6E">
            <w:pPr>
              <w:pStyle w:val="BodyText"/>
              <w:rPr>
                <w:lang w:val="en-NZ"/>
              </w:rPr>
            </w:pPr>
            <w:r w:rsidRPr="00EC066E">
              <w:rPr>
                <w:rStyle w:val="SpecialBold"/>
              </w:rPr>
              <w:t>Comment</w:t>
            </w:r>
          </w:p>
        </w:tc>
      </w:tr>
      <w:tr w:rsidTr="007A33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66E">
            <w:pPr>
              <w:pStyle w:val="BodyText"/>
              <w:rPr>
                <w:lang w:val="en-NZ"/>
              </w:rPr>
            </w:pPr>
            <w:r w:rsidRPr="00EC066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66E" w:rsidP="00EC066E">
            <w:pPr>
              <w:pStyle w:val="BodyText"/>
            </w:pPr>
            <w:r w:rsidRPr="00EC066E">
              <w:t>New unit of competency.</w:t>
            </w:r>
          </w:p>
        </w:tc>
      </w:tr>
    </w:tbl>
    <w:p w:rsidR="00000000" w:rsidRPr="00EC066E" w:rsidP="00EC066E">
      <w:pPr>
        <w:pStyle w:val="BodyText"/>
      </w:pPr>
    </w:p>
    <w:p w:rsidR="00000000" w:rsidRPr="00EC066E" w:rsidP="00EC066E">
      <w:pPr>
        <w:pStyle w:val="AllowPageBreak"/>
      </w:pPr>
    </w:p>
    <w:p w:rsidR="00000000" w:rsidRPr="00EC066E" w:rsidP="00EC066E">
      <w:pPr>
        <w:pStyle w:val="Heading1"/>
      </w:pPr>
      <w:bookmarkStart w:id="2" w:name="O_795252"/>
      <w:bookmarkEnd w:id="2"/>
      <w:r w:rsidRPr="00EC066E">
        <w:t>Performance Evidence</w:t>
      </w:r>
    </w:p>
    <w:p w:rsidR="00000000" w:rsidRPr="00EC066E" w:rsidP="007A338A">
      <w:pPr>
        <w:pStyle w:val="BodyText"/>
      </w:pPr>
      <w:r w:rsidRPr="00EC066E">
        <w:t>Before competency can be determined,</w:t>
      </w:r>
      <w:r w:rsidRPr="00EC066E">
        <w:t xml:space="preserve"> individuals must demonstrate they can perform the following according to the standard defined in this unit’s elements, performance criteria, range of conditions and foundation skills:</w:t>
      </w:r>
    </w:p>
    <w:p w:rsidR="00000000" w:rsidRPr="00EC066E" w:rsidP="00EC066E">
      <w:pPr>
        <w:pStyle w:val="ListBullet"/>
      </w:pPr>
      <w:r w:rsidRPr="00EC066E">
        <w:t xml:space="preserve">diagnose complex system faults on three different vehicles, machinery </w:t>
      </w:r>
      <w:r w:rsidRPr="00EC066E">
        <w:t>or vessels</w:t>
      </w:r>
    </w:p>
    <w:p w:rsidR="00000000" w:rsidRPr="00EC066E" w:rsidP="00EC066E">
      <w:pPr>
        <w:pStyle w:val="ListBullet"/>
      </w:pPr>
      <w:r w:rsidRPr="00EC066E">
        <w:t>the above diagnosis must involve two of the following types of complex faults:</w:t>
      </w:r>
    </w:p>
    <w:p w:rsidR="00000000" w:rsidRPr="00EC066E" w:rsidP="00EC066E">
      <w:pPr>
        <w:pStyle w:val="ListBullet2"/>
      </w:pPr>
      <w:r w:rsidRPr="00EC066E">
        <w:t>one fault that is in a complex system that integrates two or more automotive systems</w:t>
      </w:r>
    </w:p>
    <w:p w:rsidR="00000000" w:rsidRPr="00EC066E" w:rsidP="00EC066E">
      <w:pPr>
        <w:pStyle w:val="ListBullet2"/>
      </w:pPr>
      <w:r w:rsidRPr="00EC066E">
        <w:t>one fault that incorporates three or more mechanical, hydraulic, pneumatic, electrical or electronic sub-systems.</w:t>
      </w:r>
    </w:p>
    <w:p w:rsidR="00000000" w:rsidRPr="00EC066E" w:rsidP="00EC066E">
      <w:pPr>
        <w:pStyle w:val="AllowPageBreak"/>
      </w:pPr>
    </w:p>
    <w:p w:rsidR="00000000" w:rsidRPr="00EC066E" w:rsidP="00EC066E">
      <w:pPr>
        <w:pStyle w:val="Heading1"/>
      </w:pPr>
      <w:bookmarkStart w:id="3" w:name="O_795253"/>
      <w:bookmarkEnd w:id="3"/>
      <w:r w:rsidRPr="00EC066E">
        <w:t>Knowledge Evidence</w:t>
      </w:r>
    </w:p>
    <w:p w:rsidR="00000000" w:rsidRPr="00EC066E" w:rsidP="007A338A">
      <w:pPr>
        <w:pStyle w:val="BodyText"/>
      </w:pPr>
      <w:r w:rsidRPr="00EC066E">
        <w:t>Individuals must be able to demonstrate knowledge of:</w:t>
      </w:r>
    </w:p>
    <w:p w:rsidR="00000000" w:rsidRPr="00EC066E" w:rsidP="00EC066E">
      <w:pPr>
        <w:pStyle w:val="ListBullet"/>
      </w:pPr>
      <w:r w:rsidRPr="00EC066E">
        <w:t>work health and safety (WHS) and occupational healt</w:t>
      </w:r>
      <w:r w:rsidRPr="00EC066E">
        <w:t>h and safety (OHS) requirements relating to diagnosing complex system faults in vehicles, vessels or machinery, including working safely with the systems being tested, including procedures for:</w:t>
      </w:r>
    </w:p>
    <w:p w:rsidR="00000000" w:rsidRPr="00EC066E" w:rsidP="00EC066E">
      <w:pPr>
        <w:pStyle w:val="ListBullet2"/>
      </w:pPr>
      <w:r w:rsidRPr="00EC066E">
        <w:t>selecting and using personal protective equipment (PPE)</w:t>
      </w:r>
    </w:p>
    <w:p w:rsidR="00000000" w:rsidRPr="00EC066E" w:rsidP="00EC066E">
      <w:pPr>
        <w:pStyle w:val="ListBullet2"/>
      </w:pPr>
      <w:r w:rsidRPr="00EC066E">
        <w:t>using</w:t>
      </w:r>
      <w:r w:rsidRPr="00EC066E">
        <w:t xml:space="preserve"> tools and equipment</w:t>
      </w:r>
    </w:p>
    <w:p w:rsidR="00000000" w:rsidRPr="00EC066E" w:rsidP="00EC066E">
      <w:pPr>
        <w:pStyle w:val="ListBullet"/>
      </w:pPr>
      <w:r w:rsidRPr="00EC066E">
        <w:t>types, application and operation of complex systems, including:</w:t>
      </w:r>
    </w:p>
    <w:p w:rsidR="00000000" w:rsidRPr="00EC066E" w:rsidP="00EC066E">
      <w:pPr>
        <w:pStyle w:val="ListBullet2"/>
      </w:pPr>
      <w:r w:rsidRPr="00EC066E">
        <w:t>systems that integrates two or more automotive systems</w:t>
      </w:r>
    </w:p>
    <w:p w:rsidR="00000000" w:rsidRPr="00EC066E" w:rsidP="00EC066E">
      <w:pPr>
        <w:pStyle w:val="ListBullet2"/>
      </w:pPr>
      <w:r w:rsidRPr="00EC066E">
        <w:t>systems that incorporate three or more mechanical, hydraulic, pneumatic, electrical or electronic sub-systems</w:t>
      </w:r>
    </w:p>
    <w:p w:rsidR="00000000" w:rsidRPr="00EC066E" w:rsidP="00EC066E">
      <w:pPr>
        <w:pStyle w:val="ListBullet"/>
      </w:pPr>
      <w:r w:rsidRPr="00EC066E">
        <w:t>dia</w:t>
      </w:r>
      <w:r w:rsidRPr="00EC066E">
        <w:t>gnostic procedures for complex systems, including stages within the diagnostic procedure</w:t>
      </w:r>
    </w:p>
    <w:p w:rsidR="00000000" w:rsidRPr="00EC066E" w:rsidP="00EC066E">
      <w:pPr>
        <w:pStyle w:val="ListBullet"/>
      </w:pPr>
      <w:r w:rsidRPr="00EC066E">
        <w:t>methods of gathering information on complex system faults, including customer questioning techniques</w:t>
      </w:r>
    </w:p>
    <w:p w:rsidR="00000000" w:rsidRPr="00EC066E" w:rsidP="00EC066E">
      <w:pPr>
        <w:pStyle w:val="ListBullet"/>
      </w:pPr>
      <w:r w:rsidRPr="00EC066E">
        <w:t>types and applications of diagnostic flow charts</w:t>
      </w:r>
    </w:p>
    <w:p w:rsidR="00000000" w:rsidRPr="00EC066E" w:rsidP="00EC066E">
      <w:pPr>
        <w:pStyle w:val="ListBullet"/>
      </w:pPr>
      <w:r w:rsidRPr="00EC066E">
        <w:t>types, applications, limitations and operation of diagnostic tools, including:</w:t>
      </w:r>
    </w:p>
    <w:p w:rsidR="00000000" w:rsidRPr="00EC066E" w:rsidP="00EC066E">
      <w:pPr>
        <w:pStyle w:val="ListBullet2"/>
      </w:pPr>
      <w:r w:rsidRPr="00EC066E">
        <w:t>multimeters</w:t>
      </w:r>
    </w:p>
    <w:p w:rsidR="00000000" w:rsidRPr="00EC066E" w:rsidP="00EC066E">
      <w:pPr>
        <w:pStyle w:val="ListBullet2"/>
      </w:pPr>
      <w:r w:rsidRPr="00EC066E">
        <w:t>scan tools, including:</w:t>
      </w:r>
    </w:p>
    <w:p w:rsidR="00000000" w:rsidRPr="00EC066E" w:rsidP="00EC066E">
      <w:pPr>
        <w:pStyle w:val="ListBullet3"/>
      </w:pPr>
      <w:r w:rsidRPr="00EC066E">
        <w:t>diagnosis trouble codes (DTC) and the conditions that caused the code to be set</w:t>
      </w:r>
    </w:p>
    <w:p w:rsidR="00000000" w:rsidRPr="00EC066E" w:rsidP="00EC066E">
      <w:pPr>
        <w:pStyle w:val="ListBullet3"/>
      </w:pPr>
      <w:r w:rsidRPr="00EC066E">
        <w:t>live data</w:t>
      </w:r>
    </w:p>
    <w:p w:rsidR="00000000" w:rsidRPr="00EC066E" w:rsidP="00EC066E">
      <w:pPr>
        <w:pStyle w:val="ListBullet3"/>
      </w:pPr>
      <w:r w:rsidRPr="00EC066E">
        <w:t>snap shots</w:t>
      </w:r>
    </w:p>
    <w:p w:rsidR="00000000" w:rsidRPr="00EC066E" w:rsidP="00EC066E">
      <w:pPr>
        <w:pStyle w:val="ListBullet2"/>
      </w:pPr>
      <w:r w:rsidRPr="00EC066E">
        <w:t>oscilloscopes</w:t>
      </w:r>
    </w:p>
    <w:p w:rsidR="00000000" w:rsidRPr="00EC066E" w:rsidP="00EC066E">
      <w:pPr>
        <w:pStyle w:val="ListBullet2"/>
      </w:pPr>
      <w:r w:rsidRPr="00EC066E">
        <w:t>mechanical, hydraulic and pneumatic test equipment</w:t>
      </w:r>
    </w:p>
    <w:p w:rsidR="00000000" w:rsidRPr="00EC066E" w:rsidP="00EC066E">
      <w:pPr>
        <w:pStyle w:val="ListBullet"/>
      </w:pPr>
      <w:r w:rsidRPr="00EC066E">
        <w:t>methods of differentiating between fault symptoms and fault cause.</w:t>
      </w:r>
    </w:p>
    <w:p w:rsidR="00000000" w:rsidRPr="00EC066E" w:rsidP="00EC066E">
      <w:pPr>
        <w:pStyle w:val="AllowPageBreak"/>
      </w:pPr>
    </w:p>
    <w:p w:rsidR="00000000" w:rsidRPr="00EC066E" w:rsidP="00EC066E">
      <w:pPr>
        <w:pStyle w:val="Heading1"/>
      </w:pPr>
      <w:bookmarkStart w:id="4" w:name="O_795254"/>
      <w:bookmarkEnd w:id="4"/>
      <w:r w:rsidRPr="00EC066E">
        <w:t>Assessment Conditions</w:t>
      </w:r>
    </w:p>
    <w:p w:rsidR="00000000" w:rsidRPr="00EC066E" w:rsidP="007A338A">
      <w:pPr>
        <w:pStyle w:val="BodyText"/>
      </w:pPr>
      <w:r w:rsidRPr="00EC066E">
        <w:t>Assessors must satisfy NVR/AQTF assessor requirements.</w:t>
      </w:r>
    </w:p>
    <w:p w:rsidR="00000000" w:rsidRPr="00EC066E" w:rsidP="007A338A">
      <w:pPr>
        <w:pStyle w:val="BodyText"/>
      </w:pPr>
      <w:r w:rsidRPr="00EC066E">
        <w:t>Competency is to be assessed in the workplace or a simulated environment that accurately reflects performance in a real workplace setting.</w:t>
      </w:r>
    </w:p>
    <w:p w:rsidR="00000000" w:rsidRPr="00EC066E" w:rsidP="007A338A">
      <w:pPr>
        <w:pStyle w:val="BodyText"/>
      </w:pPr>
      <w:r w:rsidRPr="00EC066E">
        <w:t>Assessment must include direct observation of tasks.</w:t>
      </w:r>
    </w:p>
    <w:p w:rsidR="00000000" w:rsidRPr="00EC066E" w:rsidP="007A338A">
      <w:pPr>
        <w:pStyle w:val="BodyText"/>
      </w:pPr>
      <w:r w:rsidRPr="00EC066E">
        <w:t xml:space="preserve">Where assessment of competency includes third-party evidence, </w:t>
      </w:r>
      <w:r w:rsidRPr="00EC066E">
        <w:t>individuals must provide evidence that links them to the vehicle or machinery complex system faults that they have diagnosed, e.g. repair orders.</w:t>
      </w:r>
    </w:p>
    <w:p w:rsidR="00000000" w:rsidRPr="00EC066E" w:rsidP="007A338A">
      <w:pPr>
        <w:pStyle w:val="BodyText"/>
      </w:pPr>
      <w:r w:rsidRPr="00EC066E">
        <w:t>Assessors must verify performance evidence through questioning on skills and knowledge to ensure correct inte</w:t>
      </w:r>
      <w:r w:rsidRPr="00EC066E">
        <w:t>rpretation and application.</w:t>
      </w:r>
    </w:p>
    <w:p w:rsidR="00000000" w:rsidRPr="00EC066E" w:rsidP="007A338A">
      <w:pPr>
        <w:pStyle w:val="BodyText"/>
      </w:pPr>
      <w:r w:rsidRPr="00EC066E">
        <w:t>The following resources must be made available:</w:t>
      </w:r>
    </w:p>
    <w:p w:rsidR="00000000" w:rsidRPr="00EC066E" w:rsidP="00EC066E">
      <w:pPr>
        <w:pStyle w:val="ListBullet"/>
      </w:pPr>
      <w:r w:rsidRPr="00EC066E">
        <w:t>automotive repair workplace or simulated workplace</w:t>
      </w:r>
    </w:p>
    <w:p w:rsidR="00000000" w:rsidRPr="00EC066E" w:rsidP="00EC066E">
      <w:pPr>
        <w:pStyle w:val="ListBullet"/>
      </w:pPr>
      <w:r w:rsidRPr="00EC066E">
        <w:t>workplace instructions</w:t>
      </w:r>
    </w:p>
    <w:p w:rsidR="00000000" w:rsidRPr="00EC066E" w:rsidP="00EC066E">
      <w:pPr>
        <w:pStyle w:val="ListBullet"/>
      </w:pPr>
      <w:r w:rsidRPr="00EC066E">
        <w:t>manufacturer system specifications</w:t>
      </w:r>
    </w:p>
    <w:p w:rsidR="00000000" w:rsidRPr="00EC066E" w:rsidP="00EC066E">
      <w:pPr>
        <w:pStyle w:val="ListBullet"/>
      </w:pPr>
      <w:r w:rsidRPr="00EC066E">
        <w:t xml:space="preserve">three different vehicles, vessels or machinery that have the complex </w:t>
      </w:r>
      <w:r w:rsidRPr="00EC066E">
        <w:t>system faults specified in the performance evidence</w:t>
      </w:r>
    </w:p>
    <w:p w:rsidR="00000000" w:rsidRPr="00EC066E" w:rsidP="00EC066E">
      <w:pPr>
        <w:pStyle w:val="ListBullet"/>
      </w:pPr>
      <w:r w:rsidRPr="00EC066E">
        <w:t>tools, equipment and materials appropriate for diagnosing complex system faults in vehicles, vessels or machinery.</w:t>
      </w:r>
    </w:p>
    <w:p w:rsidR="00000000" w:rsidRPr="00EC066E" w:rsidP="00EC066E">
      <w:pPr>
        <w:pStyle w:val="AllowPageBreak"/>
      </w:pPr>
    </w:p>
    <w:p w:rsidR="00000000" w:rsidRPr="00EC066E" w:rsidP="00EC066E">
      <w:pPr>
        <w:pStyle w:val="Heading1"/>
      </w:pPr>
      <w:bookmarkStart w:id="5" w:name="O_795257"/>
      <w:bookmarkEnd w:id="5"/>
      <w:r w:rsidRPr="00EC066E">
        <w:t>Links</w:t>
      </w:r>
    </w:p>
    <w:p w:rsidR="00000000" w:rsidRPr="00EC066E" w:rsidP="007A338A">
      <w:pPr>
        <w:pStyle w:val="BodyText"/>
      </w:pPr>
      <w:r w:rsidRPr="00EC0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06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C066E" w:rsidP="007A338A">
      <w:pPr>
        <w:pStyle w:val="BodyText"/>
      </w:pPr>
      <w:r w:rsidRPr="00EC06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1066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C066E" w:rsidP="00EC066E"/>
    <w:sectPr w:rsidSect="00EC06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6E" w:rsidRPr="007A338A" w:rsidP="007A3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8A" w:rsidP="00EC06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38A" w:rsidP="00EC06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338A" w:rsidP="00EC06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66E" w:rsidRPr="007A338A" w:rsidP="007A3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8A" w:rsidRPr="002D2AF8" w:rsidP="00EC06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AURTTA021 Diagnose complex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A338A" w:rsidP="00EC06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49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58B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ED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6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6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6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6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6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6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6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6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6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6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66E"/>
  </w:style>
  <w:style w:type="character" w:customStyle="1" w:styleId="Heading1Char">
    <w:name w:val="Heading 1 Char"/>
    <w:basedOn w:val="DefaultParagraphFont"/>
    <w:link w:val="Heading1"/>
    <w:rsid w:val="00EC06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6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6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6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66E"/>
    <w:rPr>
      <w:b/>
      <w:spacing w:val="0"/>
    </w:rPr>
  </w:style>
  <w:style w:type="paragraph" w:styleId="ListBullet2">
    <w:name w:val="List Bullet 2"/>
    <w:basedOn w:val="List2"/>
    <w:rsid w:val="00EC06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6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6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06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06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6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6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6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6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6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6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6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6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6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6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6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6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6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6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6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6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6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6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6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6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6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6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6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6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6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6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6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6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6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66E"/>
    <w:rPr>
      <w:i/>
    </w:rPr>
  </w:style>
  <w:style w:type="paragraph" w:styleId="Caption">
    <w:name w:val="caption"/>
    <w:basedOn w:val="BodyText"/>
    <w:next w:val="Normal"/>
    <w:qFormat/>
    <w:rsid w:val="00EC06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6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6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66E"/>
  </w:style>
  <w:style w:type="paragraph" w:styleId="TableofFigures">
    <w:name w:val="table of figures"/>
    <w:basedOn w:val="Normal"/>
    <w:next w:val="Normal"/>
    <w:semiHidden/>
    <w:rsid w:val="00EC06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6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066E"/>
    <w:rPr>
      <w:rFonts w:ascii="Wingdings" w:hAnsi="Wingdings"/>
    </w:rPr>
  </w:style>
  <w:style w:type="paragraph" w:customStyle="1" w:styleId="TableHeading">
    <w:name w:val="Table Heading"/>
    <w:basedOn w:val="HeadingBase"/>
    <w:rsid w:val="00EC06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66E"/>
    <w:rPr>
      <w:color w:val="0033CC"/>
      <w:u w:val="none"/>
    </w:rPr>
  </w:style>
  <w:style w:type="paragraph" w:customStyle="1" w:styleId="BodyTextRight">
    <w:name w:val="Body Text Right"/>
    <w:basedOn w:val="BodyText"/>
    <w:rsid w:val="00EC06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6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6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6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6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6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66E"/>
    <w:rPr>
      <w:sz w:val="32"/>
    </w:rPr>
  </w:style>
  <w:style w:type="paragraph" w:customStyle="1" w:styleId="HeadingProcedure">
    <w:name w:val="Heading Procedure"/>
    <w:basedOn w:val="HeadingBase"/>
    <w:next w:val="Normal"/>
    <w:rsid w:val="00EC06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66E"/>
    <w:pPr>
      <w:spacing w:before="60" w:after="60"/>
    </w:pPr>
  </w:style>
  <w:style w:type="paragraph" w:styleId="ListContinue">
    <w:name w:val="List Continue"/>
    <w:basedOn w:val="List"/>
    <w:rsid w:val="00EC066E"/>
    <w:pPr>
      <w:ind w:firstLine="0"/>
    </w:pPr>
  </w:style>
  <w:style w:type="paragraph" w:customStyle="1" w:styleId="ListNote">
    <w:name w:val="List Note"/>
    <w:basedOn w:val="List"/>
    <w:rsid w:val="00EC06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6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6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66E"/>
    <w:rPr>
      <w:rFonts w:ascii="Courier New" w:hAnsi="Courier New"/>
    </w:rPr>
  </w:style>
  <w:style w:type="paragraph" w:customStyle="1" w:styleId="NoteBullet">
    <w:name w:val="Note Bullet"/>
    <w:basedOn w:val="Note"/>
    <w:rsid w:val="00EC06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6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6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6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6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06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6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66E"/>
    <w:rPr>
      <w:b/>
      <w:smallCaps/>
    </w:rPr>
  </w:style>
  <w:style w:type="paragraph" w:customStyle="1" w:styleId="TableListNumber">
    <w:name w:val="Table List Number"/>
    <w:basedOn w:val="ListNumber"/>
    <w:rsid w:val="00EC06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6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66E"/>
    <w:pPr>
      <w:numPr>
        <w:numId w:val="10"/>
      </w:numPr>
    </w:pPr>
  </w:style>
  <w:style w:type="paragraph" w:customStyle="1" w:styleId="ListAlpha2">
    <w:name w:val="List Alpha 2"/>
    <w:basedOn w:val="List2"/>
    <w:rsid w:val="00EC066E"/>
    <w:pPr>
      <w:numPr>
        <w:numId w:val="9"/>
      </w:numPr>
    </w:pPr>
  </w:style>
  <w:style w:type="paragraph" w:styleId="List2">
    <w:name w:val="List 2"/>
    <w:basedOn w:val="BodyText"/>
    <w:rsid w:val="00EC06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6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6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6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06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066E"/>
    <w:pPr>
      <w:numPr>
        <w:numId w:val="5"/>
      </w:numPr>
    </w:pPr>
  </w:style>
  <w:style w:type="paragraph" w:styleId="ListContinue2">
    <w:name w:val="List Continue 2"/>
    <w:basedOn w:val="List2"/>
    <w:rsid w:val="00EC066E"/>
    <w:pPr>
      <w:ind w:firstLine="0"/>
    </w:pPr>
  </w:style>
  <w:style w:type="paragraph" w:styleId="ListContinue3">
    <w:name w:val="List Continue 3"/>
    <w:basedOn w:val="List3"/>
    <w:rsid w:val="00EC066E"/>
    <w:pPr>
      <w:ind w:left="1021" w:firstLine="0"/>
    </w:pPr>
  </w:style>
  <w:style w:type="paragraph" w:styleId="ListContinue4">
    <w:name w:val="List Continue 4"/>
    <w:basedOn w:val="List4"/>
    <w:rsid w:val="00EC066E"/>
    <w:pPr>
      <w:ind w:firstLine="0"/>
    </w:pPr>
  </w:style>
  <w:style w:type="paragraph" w:styleId="ListContinue5">
    <w:name w:val="List Continue 5"/>
    <w:basedOn w:val="List5"/>
    <w:rsid w:val="00EC066E"/>
    <w:pPr>
      <w:ind w:firstLine="0"/>
    </w:pPr>
  </w:style>
  <w:style w:type="paragraph" w:styleId="ListNumber3">
    <w:name w:val="List Number 3"/>
    <w:basedOn w:val="List3"/>
    <w:rsid w:val="00EC066E"/>
    <w:pPr>
      <w:numPr>
        <w:numId w:val="6"/>
      </w:numPr>
    </w:pPr>
  </w:style>
  <w:style w:type="paragraph" w:styleId="ListNumber4">
    <w:name w:val="List Number 4"/>
    <w:basedOn w:val="List4"/>
    <w:rsid w:val="00EC066E"/>
    <w:pPr>
      <w:numPr>
        <w:numId w:val="7"/>
      </w:numPr>
    </w:pPr>
  </w:style>
  <w:style w:type="paragraph" w:styleId="ListNumber5">
    <w:name w:val="List Number 5"/>
    <w:basedOn w:val="List5"/>
    <w:rsid w:val="00EC066E"/>
    <w:pPr>
      <w:numPr>
        <w:numId w:val="8"/>
      </w:numPr>
    </w:pPr>
  </w:style>
  <w:style w:type="paragraph" w:styleId="BlockText">
    <w:name w:val="Block Text"/>
    <w:basedOn w:val="Normal"/>
    <w:rsid w:val="00EC06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6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66E"/>
    <w:rPr>
      <w:sz w:val="16"/>
      <w:vertAlign w:val="superscript"/>
    </w:rPr>
  </w:style>
  <w:style w:type="character" w:customStyle="1" w:styleId="Symbols">
    <w:name w:val="Symbols"/>
    <w:basedOn w:val="DefaultParagraphFont"/>
    <w:rsid w:val="00EC066E"/>
    <w:rPr>
      <w:rFonts w:ascii="Symbol" w:hAnsi="Symbol"/>
    </w:rPr>
  </w:style>
  <w:style w:type="character" w:customStyle="1" w:styleId="MenuOptions">
    <w:name w:val="Menu Options"/>
    <w:basedOn w:val="DefaultParagraphFont"/>
    <w:rsid w:val="00EC06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66E"/>
    <w:rPr>
      <w:b/>
    </w:rPr>
  </w:style>
  <w:style w:type="character" w:customStyle="1" w:styleId="Underlined">
    <w:name w:val="Underlined"/>
    <w:basedOn w:val="DefaultParagraphFont"/>
    <w:rsid w:val="00EC066E"/>
    <w:rPr>
      <w:u w:val="single"/>
    </w:rPr>
  </w:style>
  <w:style w:type="paragraph" w:customStyle="1" w:styleId="TableBodyTextRight">
    <w:name w:val="Table Body Text Right"/>
    <w:basedOn w:val="TableBodyText"/>
    <w:rsid w:val="00EC06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66E"/>
    <w:rPr>
      <w:sz w:val="18"/>
    </w:rPr>
  </w:style>
  <w:style w:type="paragraph" w:customStyle="1" w:styleId="BodySmallRight">
    <w:name w:val="Body Small Right"/>
    <w:basedOn w:val="BodyTextRight"/>
    <w:rsid w:val="00EC066E"/>
    <w:rPr>
      <w:sz w:val="18"/>
      <w:szCs w:val="18"/>
    </w:rPr>
  </w:style>
  <w:style w:type="paragraph" w:customStyle="1" w:styleId="MarginEdition">
    <w:name w:val="Margin Edition"/>
    <w:basedOn w:val="MarginNote"/>
    <w:rsid w:val="00EC06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66E"/>
    <w:rPr>
      <w:sz w:val="2"/>
      <w:szCs w:val="2"/>
    </w:rPr>
  </w:style>
  <w:style w:type="character" w:customStyle="1" w:styleId="Small">
    <w:name w:val="Small"/>
    <w:basedOn w:val="DefaultParagraphFont"/>
    <w:rsid w:val="00EC066E"/>
    <w:rPr>
      <w:sz w:val="16"/>
    </w:rPr>
  </w:style>
  <w:style w:type="paragraph" w:customStyle="1" w:styleId="WideTable">
    <w:name w:val="Wide Table"/>
    <w:basedOn w:val="Normal"/>
    <w:rsid w:val="00EC06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66E"/>
  </w:style>
  <w:style w:type="paragraph" w:styleId="Quote">
    <w:name w:val="Quote"/>
    <w:basedOn w:val="Heading1"/>
    <w:link w:val="QuoteChar"/>
    <w:qFormat/>
    <w:rsid w:val="00EC06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6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66E"/>
    <w:pPr>
      <w:pageBreakBefore/>
    </w:pPr>
  </w:style>
  <w:style w:type="paragraph" w:customStyle="1" w:styleId="Border">
    <w:name w:val="Border"/>
    <w:basedOn w:val="Normal"/>
    <w:qFormat/>
    <w:rsid w:val="00EC06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6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6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6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6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6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6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6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6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66E"/>
    <w:rPr>
      <w:u w:val="single"/>
    </w:rPr>
  </w:style>
  <w:style w:type="character" w:customStyle="1" w:styleId="BoldandItalics">
    <w:name w:val="Bold and Italics"/>
    <w:qFormat/>
    <w:rsid w:val="00EC066E"/>
    <w:rPr>
      <w:b/>
      <w:i/>
      <w:u w:val="none"/>
    </w:rPr>
  </w:style>
  <w:style w:type="paragraph" w:styleId="BalloonText">
    <w:name w:val="Balloon Text"/>
    <w:basedOn w:val="Normal"/>
    <w:link w:val="BalloonTextChar"/>
    <w:rsid w:val="00EC0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6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6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6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6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6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66E"/>
    <w:pPr>
      <w:spacing w:before="0" w:after="0"/>
    </w:pPr>
  </w:style>
  <w:style w:type="paragraph" w:customStyle="1" w:styleId="BodyTextBold">
    <w:name w:val="Body Text Bold"/>
    <w:basedOn w:val="BodyText"/>
    <w:qFormat/>
    <w:rsid w:val="00EC066E"/>
    <w:rPr>
      <w:b/>
    </w:rPr>
  </w:style>
  <w:style w:type="character" w:styleId="Hyperlink">
    <w:name w:val="Hyperlink"/>
    <w:basedOn w:val="DefaultParagraphFont"/>
    <w:uiPriority w:val="99"/>
    <w:unhideWhenUsed/>
    <w:rsid w:val="007A3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3164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AURTTA021 Diagnose complex system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2022-02-23T11:33:00Z</dcterms:created>
  <dcterms:modified xsi:type="dcterms:W3CDTF">2022-02-23T11:33:00Z</dcterms:modified>
</cp:coreProperties>
</file>