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2DE7" w:rsidP="00A82D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AURTTA020 Apply heat induction processes</w:t>
      </w:r>
      <w:r>
        <w:fldChar w:fldCharType="end"/>
      </w:r>
    </w:p>
    <w:p w:rsidR="00A82DE7" w:rsidP="00A82DE7">
      <w:pPr>
        <w:pStyle w:val="Version"/>
        <w:sectPr w:rsidSect="00CF2E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E15" w:rsidP="00CF2E15">
      <w:pPr>
        <w:pStyle w:val="SuperHeading"/>
      </w:pPr>
      <w:r w:rsidRPr="00CF2E15">
        <w:t>Assessment Requirements for AURTTA020 Apply heat induction processes</w:t>
      </w:r>
    </w:p>
    <w:p w:rsidR="00000000" w:rsidRPr="00CF2E15" w:rsidP="00CF2E15">
      <w:pPr>
        <w:pStyle w:val="Heading1"/>
      </w:pPr>
      <w:bookmarkStart w:id="1" w:name="O_795536"/>
      <w:bookmarkEnd w:id="1"/>
      <w:r w:rsidRPr="00CF2E1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82D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15" w:rsidP="00CF2E15">
            <w:pPr>
              <w:pStyle w:val="BodyText"/>
            </w:pPr>
            <w:r w:rsidRPr="00CF2E1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15">
            <w:pPr>
              <w:pStyle w:val="BodyText"/>
              <w:rPr>
                <w:lang w:val="en-NZ"/>
              </w:rPr>
            </w:pPr>
            <w:r w:rsidRPr="00CF2E15">
              <w:rPr>
                <w:rStyle w:val="SpecialBold"/>
              </w:rPr>
              <w:t>Comment</w:t>
            </w:r>
          </w:p>
        </w:tc>
      </w:tr>
      <w:tr w:rsidTr="00A82DE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E15">
            <w:pPr>
              <w:pStyle w:val="BodyText"/>
              <w:rPr>
                <w:lang w:val="en-NZ"/>
              </w:rPr>
            </w:pPr>
            <w:r w:rsidRPr="00CF2E1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E15" w:rsidP="00CF2E15">
            <w:pPr>
              <w:pStyle w:val="BodyText"/>
            </w:pPr>
            <w:r w:rsidRPr="00CF2E15">
              <w:t>New unit of competency.</w:t>
            </w:r>
          </w:p>
        </w:tc>
      </w:tr>
    </w:tbl>
    <w:p w:rsidR="00000000" w:rsidRPr="00CF2E15" w:rsidP="00CF2E15">
      <w:pPr>
        <w:pStyle w:val="BodyText"/>
      </w:pPr>
    </w:p>
    <w:p w:rsidR="00000000" w:rsidRPr="00CF2E15" w:rsidP="00CF2E15">
      <w:pPr>
        <w:pStyle w:val="AllowPageBreak"/>
      </w:pPr>
    </w:p>
    <w:p w:rsidR="00000000" w:rsidRPr="00CF2E15" w:rsidP="00CF2E15">
      <w:pPr>
        <w:pStyle w:val="Heading1"/>
      </w:pPr>
      <w:bookmarkStart w:id="2" w:name="O_795537"/>
      <w:bookmarkEnd w:id="2"/>
      <w:r w:rsidRPr="00CF2E15">
        <w:t>Performance Evidence</w:t>
      </w:r>
    </w:p>
    <w:p w:rsidR="00000000" w:rsidRPr="00CF2E15" w:rsidP="00A82DE7">
      <w:pPr>
        <w:pStyle w:val="BodyText"/>
      </w:pPr>
      <w:r w:rsidRPr="00CF2E15">
        <w:t>Before competency can be determined,</w:t>
      </w:r>
      <w:r w:rsidRPr="00CF2E15">
        <w:t xml:space="preserve"> individuals must demonstrate they can perform the following according to the standards defined in this unit’s elements, performance criteria, range of conditions and foundation skills:</w:t>
      </w:r>
    </w:p>
    <w:p w:rsidR="00000000" w:rsidRPr="00CF2E15" w:rsidP="00CF2E15">
      <w:pPr>
        <w:pStyle w:val="ListBullet"/>
      </w:pPr>
      <w:r w:rsidRPr="00CF2E15">
        <w:t>apply heat induction processes to three different chassis and compone</w:t>
      </w:r>
      <w:r w:rsidRPr="00CF2E15">
        <w:t>nt repairs, in which the work must involve the use of:</w:t>
      </w:r>
    </w:p>
    <w:p w:rsidR="00000000" w:rsidRPr="00CF2E15" w:rsidP="00CF2E15">
      <w:pPr>
        <w:pStyle w:val="ListBullet2"/>
      </w:pPr>
      <w:r w:rsidRPr="00CF2E15">
        <w:t>metal colours</w:t>
      </w:r>
    </w:p>
    <w:p w:rsidR="00000000" w:rsidRPr="00CF2E15" w:rsidP="00CF2E15">
      <w:pPr>
        <w:pStyle w:val="ListBullet2"/>
      </w:pPr>
      <w:r w:rsidRPr="00CF2E15">
        <w:t>heat crayons</w:t>
      </w:r>
    </w:p>
    <w:p w:rsidR="00000000" w:rsidRPr="00CF2E15" w:rsidP="00CF2E15">
      <w:pPr>
        <w:pStyle w:val="ListBullet2"/>
      </w:pPr>
      <w:r w:rsidRPr="00CF2E15">
        <w:t>thermal temp gun.</w:t>
      </w:r>
    </w:p>
    <w:p w:rsidR="00000000" w:rsidRPr="00CF2E15" w:rsidP="00CF2E15">
      <w:pPr>
        <w:pStyle w:val="AllowPageBreak"/>
      </w:pPr>
    </w:p>
    <w:p w:rsidR="00000000" w:rsidRPr="00CF2E15" w:rsidP="00CF2E15">
      <w:pPr>
        <w:pStyle w:val="Heading1"/>
      </w:pPr>
      <w:bookmarkStart w:id="3" w:name="O_795538"/>
      <w:bookmarkEnd w:id="3"/>
      <w:r w:rsidRPr="00CF2E15">
        <w:t>Knowledge Evidence</w:t>
      </w:r>
    </w:p>
    <w:p w:rsidR="00000000" w:rsidRPr="00CF2E15" w:rsidP="00A82DE7">
      <w:pPr>
        <w:pStyle w:val="BodyText"/>
      </w:pPr>
      <w:r w:rsidRPr="00CF2E15">
        <w:t>Individuals must be able to demonstrate knowledge of:</w:t>
      </w:r>
    </w:p>
    <w:p w:rsidR="00000000" w:rsidRPr="00CF2E15" w:rsidP="00CF2E15">
      <w:pPr>
        <w:pStyle w:val="ListBullet"/>
      </w:pPr>
      <w:r w:rsidRPr="00CF2E15">
        <w:t>work health and safety (WHS) and occupational health and safety (OHS) requirements relating to applying heat induction processes, including procedures for:</w:t>
      </w:r>
    </w:p>
    <w:p w:rsidR="00000000" w:rsidRPr="00CF2E15" w:rsidP="00CF2E15">
      <w:pPr>
        <w:pStyle w:val="ListBullet2"/>
      </w:pPr>
      <w:r w:rsidRPr="00CF2E15">
        <w:t>selecting and using personal protective equipment (PPE)</w:t>
      </w:r>
    </w:p>
    <w:p w:rsidR="00000000" w:rsidRPr="00CF2E15" w:rsidP="00CF2E15">
      <w:pPr>
        <w:pStyle w:val="ListBullet2"/>
      </w:pPr>
      <w:r w:rsidRPr="00CF2E15">
        <w:t>using specialist heat induction equipment</w:t>
      </w:r>
    </w:p>
    <w:p w:rsidR="00000000" w:rsidRPr="00CF2E15" w:rsidP="00CF2E15">
      <w:pPr>
        <w:pStyle w:val="ListBullet2"/>
      </w:pPr>
      <w:r w:rsidRPr="00CF2E15">
        <w:t>i</w:t>
      </w:r>
      <w:r w:rsidRPr="00CF2E15">
        <w:t>dentifying workplace hazards</w:t>
      </w:r>
    </w:p>
    <w:p w:rsidR="00000000" w:rsidRPr="00CF2E15" w:rsidP="00CF2E15">
      <w:pPr>
        <w:pStyle w:val="ListBullet"/>
      </w:pPr>
      <w:r w:rsidRPr="00CF2E15">
        <w:t>environmental requirements, including procedures for trapping, storing and disposing of waste materials</w:t>
      </w:r>
    </w:p>
    <w:p w:rsidR="00000000" w:rsidRPr="00CF2E15" w:rsidP="00CF2E15">
      <w:pPr>
        <w:pStyle w:val="ListBullet"/>
      </w:pPr>
      <w:r w:rsidRPr="00CF2E15">
        <w:t>heat induction process and procedures, including:</w:t>
      </w:r>
    </w:p>
    <w:p w:rsidR="00000000" w:rsidRPr="00CF2E15" w:rsidP="00CF2E15">
      <w:pPr>
        <w:pStyle w:val="ListBullet2"/>
      </w:pPr>
      <w:r w:rsidRPr="00CF2E15">
        <w:t>use of heat induction in repairs</w:t>
      </w:r>
    </w:p>
    <w:p w:rsidR="00000000" w:rsidRPr="00CF2E15" w:rsidP="00CF2E15">
      <w:pPr>
        <w:pStyle w:val="ListBullet2"/>
      </w:pPr>
      <w:r w:rsidRPr="00CF2E15">
        <w:t>use of heat induction equipment, inclu</w:t>
      </w:r>
      <w:r w:rsidRPr="00CF2E15">
        <w:t>ding:</w:t>
      </w:r>
    </w:p>
    <w:p w:rsidR="00000000" w:rsidRPr="00CF2E15" w:rsidP="00CF2E15">
      <w:pPr>
        <w:pStyle w:val="ListBullet3"/>
      </w:pPr>
      <w:r w:rsidRPr="00CF2E15">
        <w:t>metal colours</w:t>
      </w:r>
    </w:p>
    <w:p w:rsidR="00000000" w:rsidRPr="00CF2E15" w:rsidP="00CF2E15">
      <w:pPr>
        <w:pStyle w:val="ListBullet3"/>
      </w:pPr>
      <w:r w:rsidRPr="00CF2E15">
        <w:t>heat crayons</w:t>
      </w:r>
    </w:p>
    <w:p w:rsidR="00000000" w:rsidRPr="00CF2E15" w:rsidP="00CF2E15">
      <w:pPr>
        <w:pStyle w:val="ListBullet3"/>
      </w:pPr>
      <w:r w:rsidRPr="00CF2E15">
        <w:t>thermal temp gun</w:t>
      </w:r>
    </w:p>
    <w:p w:rsidR="00000000" w:rsidRPr="00CF2E15" w:rsidP="00CF2E15">
      <w:pPr>
        <w:pStyle w:val="ListBullet"/>
      </w:pPr>
      <w:r w:rsidRPr="00CF2E15">
        <w:t>original equipment manufacturer (OEM) or authorised agency specifications and recommended repair procedures</w:t>
      </w:r>
    </w:p>
    <w:p w:rsidR="00000000" w:rsidRPr="00CF2E15" w:rsidP="00CF2E15">
      <w:pPr>
        <w:pStyle w:val="ListBullet"/>
      </w:pPr>
      <w:r w:rsidRPr="00CF2E15">
        <w:t>material types suitable for applying heat induction processes</w:t>
      </w:r>
    </w:p>
    <w:p w:rsidR="00000000" w:rsidRPr="00CF2E15" w:rsidP="00CF2E15">
      <w:pPr>
        <w:pStyle w:val="ListBullet"/>
      </w:pPr>
      <w:r w:rsidRPr="00CF2E15">
        <w:t>problem-solving techniques relating to addressing repair defects</w:t>
      </w:r>
    </w:p>
    <w:p w:rsidR="00000000" w:rsidRPr="00CF2E15" w:rsidP="00CF2E15">
      <w:pPr>
        <w:pStyle w:val="ListBullet"/>
      </w:pPr>
      <w:r w:rsidRPr="00CF2E15">
        <w:t>final inspection procedures</w:t>
      </w:r>
    </w:p>
    <w:p w:rsidR="00000000" w:rsidRPr="00CF2E15" w:rsidP="00CF2E15">
      <w:pPr>
        <w:pStyle w:val="ListBullet"/>
      </w:pPr>
      <w:r w:rsidRPr="00CF2E15">
        <w:t>work area clean-up and maintenance requirements</w:t>
      </w:r>
    </w:p>
    <w:p w:rsidR="00000000" w:rsidRPr="00CF2E15" w:rsidP="00CF2E15">
      <w:pPr>
        <w:pStyle w:val="ListBullet"/>
      </w:pPr>
      <w:r w:rsidRPr="00CF2E15">
        <w:t>procedures for completing workplace documentation.</w:t>
      </w:r>
    </w:p>
    <w:p w:rsidR="00000000" w:rsidRPr="00CF2E15" w:rsidP="00CF2E15">
      <w:pPr>
        <w:pStyle w:val="AllowPageBreak"/>
      </w:pPr>
    </w:p>
    <w:p w:rsidR="00000000" w:rsidRPr="00CF2E15" w:rsidP="00CF2E15">
      <w:pPr>
        <w:pStyle w:val="Heading1"/>
      </w:pPr>
      <w:bookmarkStart w:id="4" w:name="O_795539"/>
      <w:bookmarkEnd w:id="4"/>
      <w:r w:rsidRPr="00CF2E15">
        <w:t>Assessment Conditions</w:t>
      </w:r>
    </w:p>
    <w:p w:rsidR="00000000" w:rsidRPr="00CF2E15" w:rsidP="00A82DE7">
      <w:pPr>
        <w:pStyle w:val="BodyText"/>
      </w:pPr>
      <w:r w:rsidRPr="00CF2E15">
        <w:t>Assessors must satisfy NVR/AQTF assessor requirements.</w:t>
      </w:r>
    </w:p>
    <w:p w:rsidR="00000000" w:rsidRPr="00CF2E15" w:rsidP="00A82DE7">
      <w:pPr>
        <w:pStyle w:val="BodyText"/>
      </w:pPr>
      <w:r w:rsidRPr="00CF2E15">
        <w:t>Competency is to be assessed in the workplace or a simulated environment that accurately reflects performance in a real workplace setting.</w:t>
      </w:r>
    </w:p>
    <w:p w:rsidR="00000000" w:rsidRPr="00CF2E15" w:rsidP="00A82DE7">
      <w:pPr>
        <w:pStyle w:val="BodyText"/>
      </w:pPr>
      <w:r w:rsidRPr="00CF2E15">
        <w:t>Assessment must include direct observation of tasks.</w:t>
      </w:r>
    </w:p>
    <w:p w:rsidR="00000000" w:rsidRPr="00CF2E15" w:rsidP="00A82DE7">
      <w:pPr>
        <w:pStyle w:val="BodyText"/>
      </w:pPr>
      <w:r w:rsidRPr="00CF2E15">
        <w:t xml:space="preserve">Where </w:t>
      </w:r>
      <w:r w:rsidRPr="00CF2E15">
        <w:t>assessment of competency includes third-party evidence, individuals must provide evidence that links them to having used heat induction equipment to repair vehicle chassis, e.g. repair orders.</w:t>
      </w:r>
    </w:p>
    <w:p w:rsidR="00000000" w:rsidRPr="00CF2E15" w:rsidP="00A82DE7">
      <w:pPr>
        <w:pStyle w:val="BodyText"/>
      </w:pPr>
      <w:r w:rsidRPr="00CF2E15">
        <w:t>Assessors must verify performance evidence through questioning</w:t>
      </w:r>
      <w:r w:rsidRPr="00CF2E15">
        <w:t xml:space="preserve"> on skills and knowledge to ensure correct interpretation and application.</w:t>
      </w:r>
    </w:p>
    <w:p w:rsidR="00000000" w:rsidRPr="00CF2E15" w:rsidP="00A82DE7">
      <w:pPr>
        <w:pStyle w:val="BodyText"/>
      </w:pPr>
      <w:r w:rsidRPr="00CF2E15">
        <w:t>The following resources must be made available:</w:t>
      </w:r>
    </w:p>
    <w:p w:rsidR="00000000" w:rsidRPr="00CF2E15" w:rsidP="00CF2E15">
      <w:pPr>
        <w:pStyle w:val="ListBullet"/>
      </w:pPr>
      <w:r w:rsidRPr="00CF2E15">
        <w:t>automotive repair workplace or simulated workplace</w:t>
      </w:r>
    </w:p>
    <w:p w:rsidR="00000000" w:rsidRPr="00CF2E15" w:rsidP="00CF2E15">
      <w:pPr>
        <w:pStyle w:val="ListBullet"/>
      </w:pPr>
      <w:r w:rsidRPr="00CF2E15">
        <w:t>workplace instructions</w:t>
      </w:r>
    </w:p>
    <w:p w:rsidR="00000000" w:rsidRPr="00CF2E15" w:rsidP="00CF2E15">
      <w:pPr>
        <w:pStyle w:val="ListBullet"/>
      </w:pPr>
      <w:r w:rsidRPr="00CF2E15">
        <w:t>PPE required to use heat induction equipment</w:t>
      </w:r>
    </w:p>
    <w:p w:rsidR="00000000" w:rsidRPr="00CF2E15" w:rsidP="00CF2E15">
      <w:pPr>
        <w:pStyle w:val="ListBullet"/>
      </w:pPr>
      <w:r w:rsidRPr="00CF2E15">
        <w:t>OEM or auth</w:t>
      </w:r>
      <w:r w:rsidRPr="00CF2E15">
        <w:t>orised agency repair procedures</w:t>
      </w:r>
    </w:p>
    <w:p w:rsidR="00000000" w:rsidRPr="00CF2E15" w:rsidP="00CF2E15">
      <w:pPr>
        <w:pStyle w:val="ListBullet"/>
      </w:pPr>
      <w:r w:rsidRPr="00CF2E15">
        <w:t>heat induction equipment and operating instructions</w:t>
      </w:r>
    </w:p>
    <w:p w:rsidR="00000000" w:rsidRPr="00CF2E15" w:rsidP="00CF2E15">
      <w:pPr>
        <w:pStyle w:val="ListBullet"/>
      </w:pPr>
      <w:r w:rsidRPr="00CF2E15">
        <w:t>three different damaged vehicle chassis and components requiring heat induction repairs</w:t>
      </w:r>
    </w:p>
    <w:p w:rsidR="00000000" w:rsidRPr="00CF2E15" w:rsidP="00CF2E15">
      <w:pPr>
        <w:pStyle w:val="ListBullet"/>
      </w:pPr>
      <w:r w:rsidRPr="00CF2E15">
        <w:t>tools and equipment appropriate for applying heat induction processes.</w:t>
      </w:r>
    </w:p>
    <w:p w:rsidR="00000000" w:rsidRPr="00CF2E15" w:rsidP="00CF2E15">
      <w:pPr>
        <w:pStyle w:val="AllowPageBreak"/>
      </w:pPr>
    </w:p>
    <w:p w:rsidR="00000000" w:rsidRPr="00CF2E15" w:rsidP="00CF2E15">
      <w:pPr>
        <w:pStyle w:val="Heading1"/>
      </w:pPr>
      <w:bookmarkStart w:id="5" w:name="O_795542"/>
      <w:bookmarkEnd w:id="5"/>
      <w:r w:rsidRPr="00CF2E15">
        <w:t>Links</w:t>
      </w:r>
    </w:p>
    <w:p w:rsidR="00000000" w:rsidRPr="00CF2E15" w:rsidP="00A82DE7">
      <w:pPr>
        <w:pStyle w:val="BodyText"/>
      </w:pPr>
      <w:r w:rsidRPr="00CF2E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4BD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F2E15" w:rsidP="00A82DE7">
      <w:pPr>
        <w:pStyle w:val="BodyText"/>
      </w:pPr>
      <w:r w:rsidRPr="00CF2E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E4BD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F2E15" w:rsidP="00CF2E15"/>
    <w:sectPr w:rsidSect="00CF2E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15" w:rsidRPr="00A82DE7" w:rsidP="00A82D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E7" w:rsidP="00CF2E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2DE7" w:rsidP="00CF2E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82DE7" w:rsidP="00CF2E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E15" w:rsidRPr="00A82DE7" w:rsidP="00A82D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E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DE7" w:rsidRPr="002D2AF8" w:rsidP="00CF2E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AURTTA020 Apply heat induction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82DE7" w:rsidP="00CF2E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80E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103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E08E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E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E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E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E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E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E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E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E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E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E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E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E15"/>
  </w:style>
  <w:style w:type="character" w:customStyle="1" w:styleId="Heading1Char">
    <w:name w:val="Heading 1 Char"/>
    <w:basedOn w:val="DefaultParagraphFont"/>
    <w:link w:val="Heading1"/>
    <w:rsid w:val="00CF2E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E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E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E1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2E15"/>
    <w:rPr>
      <w:b/>
      <w:spacing w:val="0"/>
    </w:rPr>
  </w:style>
  <w:style w:type="paragraph" w:styleId="ListBullet2">
    <w:name w:val="List Bullet 2"/>
    <w:basedOn w:val="List2"/>
    <w:rsid w:val="00CF2E1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2E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E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2E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2E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E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E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E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E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E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E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E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E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E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E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E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E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E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E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E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E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E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E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E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E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2E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E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E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E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E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E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E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E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E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E15"/>
    <w:rPr>
      <w:i/>
    </w:rPr>
  </w:style>
  <w:style w:type="paragraph" w:styleId="Caption">
    <w:name w:val="caption"/>
    <w:basedOn w:val="BodyText"/>
    <w:next w:val="Normal"/>
    <w:qFormat/>
    <w:rsid w:val="00CF2E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E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E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E15"/>
  </w:style>
  <w:style w:type="paragraph" w:styleId="TableofFigures">
    <w:name w:val="table of figures"/>
    <w:basedOn w:val="Normal"/>
    <w:next w:val="Normal"/>
    <w:semiHidden/>
    <w:rsid w:val="00CF2E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E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2E15"/>
    <w:rPr>
      <w:rFonts w:ascii="Wingdings" w:hAnsi="Wingdings"/>
    </w:rPr>
  </w:style>
  <w:style w:type="paragraph" w:customStyle="1" w:styleId="TableHeading">
    <w:name w:val="Table Heading"/>
    <w:basedOn w:val="HeadingBase"/>
    <w:rsid w:val="00CF2E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E15"/>
    <w:rPr>
      <w:color w:val="0033CC"/>
      <w:u w:val="none"/>
    </w:rPr>
  </w:style>
  <w:style w:type="paragraph" w:customStyle="1" w:styleId="BodyTextRight">
    <w:name w:val="Body Text Right"/>
    <w:basedOn w:val="BodyText"/>
    <w:rsid w:val="00CF2E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E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E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E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E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E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E15"/>
    <w:rPr>
      <w:sz w:val="32"/>
    </w:rPr>
  </w:style>
  <w:style w:type="paragraph" w:customStyle="1" w:styleId="HeadingProcedure">
    <w:name w:val="Heading Procedure"/>
    <w:basedOn w:val="HeadingBase"/>
    <w:next w:val="Normal"/>
    <w:rsid w:val="00CF2E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E15"/>
    <w:pPr>
      <w:spacing w:before="60" w:after="60"/>
    </w:pPr>
  </w:style>
  <w:style w:type="paragraph" w:styleId="ListContinue">
    <w:name w:val="List Continue"/>
    <w:basedOn w:val="List"/>
    <w:rsid w:val="00CF2E15"/>
    <w:pPr>
      <w:ind w:firstLine="0"/>
    </w:pPr>
  </w:style>
  <w:style w:type="paragraph" w:customStyle="1" w:styleId="ListNote">
    <w:name w:val="List Note"/>
    <w:basedOn w:val="List"/>
    <w:rsid w:val="00CF2E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E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E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E15"/>
    <w:rPr>
      <w:rFonts w:ascii="Courier New" w:hAnsi="Courier New"/>
    </w:rPr>
  </w:style>
  <w:style w:type="paragraph" w:customStyle="1" w:styleId="NoteBullet">
    <w:name w:val="Note Bullet"/>
    <w:basedOn w:val="Note"/>
    <w:rsid w:val="00CF2E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E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E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E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E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2E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E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E15"/>
    <w:rPr>
      <w:b/>
      <w:smallCaps/>
    </w:rPr>
  </w:style>
  <w:style w:type="paragraph" w:customStyle="1" w:styleId="TableListNumber">
    <w:name w:val="Table List Number"/>
    <w:basedOn w:val="ListNumber"/>
    <w:rsid w:val="00CF2E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E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E15"/>
    <w:pPr>
      <w:numPr>
        <w:numId w:val="10"/>
      </w:numPr>
    </w:pPr>
  </w:style>
  <w:style w:type="paragraph" w:customStyle="1" w:styleId="ListAlpha2">
    <w:name w:val="List Alpha 2"/>
    <w:basedOn w:val="List2"/>
    <w:rsid w:val="00CF2E15"/>
    <w:pPr>
      <w:numPr>
        <w:numId w:val="9"/>
      </w:numPr>
    </w:pPr>
  </w:style>
  <w:style w:type="paragraph" w:styleId="List2">
    <w:name w:val="List 2"/>
    <w:basedOn w:val="BodyText"/>
    <w:rsid w:val="00CF2E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E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E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E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2E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2E15"/>
    <w:pPr>
      <w:numPr>
        <w:numId w:val="5"/>
      </w:numPr>
    </w:pPr>
  </w:style>
  <w:style w:type="paragraph" w:styleId="ListContinue2">
    <w:name w:val="List Continue 2"/>
    <w:basedOn w:val="List2"/>
    <w:rsid w:val="00CF2E15"/>
    <w:pPr>
      <w:ind w:firstLine="0"/>
    </w:pPr>
  </w:style>
  <w:style w:type="paragraph" w:styleId="ListContinue3">
    <w:name w:val="List Continue 3"/>
    <w:basedOn w:val="List3"/>
    <w:rsid w:val="00CF2E15"/>
    <w:pPr>
      <w:ind w:left="1021" w:firstLine="0"/>
    </w:pPr>
  </w:style>
  <w:style w:type="paragraph" w:styleId="ListContinue4">
    <w:name w:val="List Continue 4"/>
    <w:basedOn w:val="List4"/>
    <w:rsid w:val="00CF2E15"/>
    <w:pPr>
      <w:ind w:firstLine="0"/>
    </w:pPr>
  </w:style>
  <w:style w:type="paragraph" w:styleId="ListContinue5">
    <w:name w:val="List Continue 5"/>
    <w:basedOn w:val="List5"/>
    <w:rsid w:val="00CF2E15"/>
    <w:pPr>
      <w:ind w:firstLine="0"/>
    </w:pPr>
  </w:style>
  <w:style w:type="paragraph" w:styleId="ListNumber3">
    <w:name w:val="List Number 3"/>
    <w:basedOn w:val="List3"/>
    <w:rsid w:val="00CF2E15"/>
    <w:pPr>
      <w:numPr>
        <w:numId w:val="6"/>
      </w:numPr>
    </w:pPr>
  </w:style>
  <w:style w:type="paragraph" w:styleId="ListNumber4">
    <w:name w:val="List Number 4"/>
    <w:basedOn w:val="List4"/>
    <w:rsid w:val="00CF2E15"/>
    <w:pPr>
      <w:numPr>
        <w:numId w:val="7"/>
      </w:numPr>
    </w:pPr>
  </w:style>
  <w:style w:type="paragraph" w:styleId="ListNumber5">
    <w:name w:val="List Number 5"/>
    <w:basedOn w:val="List5"/>
    <w:rsid w:val="00CF2E15"/>
    <w:pPr>
      <w:numPr>
        <w:numId w:val="8"/>
      </w:numPr>
    </w:pPr>
  </w:style>
  <w:style w:type="paragraph" w:styleId="BlockText">
    <w:name w:val="Block Text"/>
    <w:basedOn w:val="Normal"/>
    <w:rsid w:val="00CF2E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E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E15"/>
    <w:rPr>
      <w:sz w:val="16"/>
      <w:vertAlign w:val="superscript"/>
    </w:rPr>
  </w:style>
  <w:style w:type="character" w:customStyle="1" w:styleId="Symbols">
    <w:name w:val="Symbols"/>
    <w:basedOn w:val="DefaultParagraphFont"/>
    <w:rsid w:val="00CF2E15"/>
    <w:rPr>
      <w:rFonts w:ascii="Symbol" w:hAnsi="Symbol"/>
    </w:rPr>
  </w:style>
  <w:style w:type="character" w:customStyle="1" w:styleId="MenuOptions">
    <w:name w:val="Menu Options"/>
    <w:basedOn w:val="DefaultParagraphFont"/>
    <w:rsid w:val="00CF2E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E15"/>
    <w:rPr>
      <w:b/>
    </w:rPr>
  </w:style>
  <w:style w:type="character" w:customStyle="1" w:styleId="Underlined">
    <w:name w:val="Underlined"/>
    <w:basedOn w:val="DefaultParagraphFont"/>
    <w:rsid w:val="00CF2E15"/>
    <w:rPr>
      <w:u w:val="single"/>
    </w:rPr>
  </w:style>
  <w:style w:type="paragraph" w:customStyle="1" w:styleId="TableBodyTextRight">
    <w:name w:val="Table Body Text Right"/>
    <w:basedOn w:val="TableBodyText"/>
    <w:rsid w:val="00CF2E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E15"/>
    <w:rPr>
      <w:sz w:val="18"/>
    </w:rPr>
  </w:style>
  <w:style w:type="paragraph" w:customStyle="1" w:styleId="BodySmallRight">
    <w:name w:val="Body Small Right"/>
    <w:basedOn w:val="BodyTextRight"/>
    <w:rsid w:val="00CF2E15"/>
    <w:rPr>
      <w:sz w:val="18"/>
      <w:szCs w:val="18"/>
    </w:rPr>
  </w:style>
  <w:style w:type="paragraph" w:customStyle="1" w:styleId="MarginEdition">
    <w:name w:val="Margin Edition"/>
    <w:basedOn w:val="MarginNote"/>
    <w:rsid w:val="00CF2E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E15"/>
    <w:rPr>
      <w:sz w:val="2"/>
      <w:szCs w:val="2"/>
    </w:rPr>
  </w:style>
  <w:style w:type="character" w:customStyle="1" w:styleId="Small">
    <w:name w:val="Small"/>
    <w:basedOn w:val="DefaultParagraphFont"/>
    <w:rsid w:val="00CF2E15"/>
    <w:rPr>
      <w:sz w:val="16"/>
    </w:rPr>
  </w:style>
  <w:style w:type="paragraph" w:customStyle="1" w:styleId="WideTable">
    <w:name w:val="Wide Table"/>
    <w:basedOn w:val="Normal"/>
    <w:rsid w:val="00CF2E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E15"/>
  </w:style>
  <w:style w:type="paragraph" w:styleId="Quote">
    <w:name w:val="Quote"/>
    <w:basedOn w:val="Heading1"/>
    <w:link w:val="QuoteChar"/>
    <w:qFormat/>
    <w:rsid w:val="00CF2E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E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E15"/>
    <w:pPr>
      <w:pageBreakBefore/>
    </w:pPr>
  </w:style>
  <w:style w:type="paragraph" w:customStyle="1" w:styleId="Border">
    <w:name w:val="Border"/>
    <w:basedOn w:val="Normal"/>
    <w:qFormat/>
    <w:rsid w:val="00CF2E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E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E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E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E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E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E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E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E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E15"/>
    <w:rPr>
      <w:u w:val="single"/>
    </w:rPr>
  </w:style>
  <w:style w:type="character" w:customStyle="1" w:styleId="BoldandItalics">
    <w:name w:val="Bold and Italics"/>
    <w:qFormat/>
    <w:rsid w:val="00CF2E15"/>
    <w:rPr>
      <w:b/>
      <w:i/>
      <w:u w:val="none"/>
    </w:rPr>
  </w:style>
  <w:style w:type="paragraph" w:styleId="BalloonText">
    <w:name w:val="Balloon Text"/>
    <w:basedOn w:val="Normal"/>
    <w:link w:val="BalloonTextChar"/>
    <w:rsid w:val="00CF2E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E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E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E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E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E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E15"/>
    <w:pPr>
      <w:spacing w:before="0" w:after="0"/>
    </w:pPr>
  </w:style>
  <w:style w:type="paragraph" w:customStyle="1" w:styleId="BodyTextBold">
    <w:name w:val="Body Text Bold"/>
    <w:basedOn w:val="BodyText"/>
    <w:qFormat/>
    <w:rsid w:val="00CF2E15"/>
    <w:rPr>
      <w:b/>
    </w:rPr>
  </w:style>
  <w:style w:type="character" w:styleId="Hyperlink">
    <w:name w:val="Hyperlink"/>
    <w:basedOn w:val="DefaultParagraphFont"/>
    <w:uiPriority w:val="99"/>
    <w:unhideWhenUsed/>
    <w:rsid w:val="00A82D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397</Words>
  <Characters>2832</Characters>
  <Application>Microsoft Office Word</Application>
  <DocSecurity>0</DocSecurity>
  <Lines>83</Lines>
  <Paragraphs>60</Paragraphs>
  <ScaleCrop>false</ScaleCrop>
  <Company>Author-it Software Corporation Ltd.</Company>
  <LinksUpToDate>false</LinksUpToDate>
  <CharactersWithSpaces>3169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AURTTA020 Apply heat induction processes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