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C21" w:rsidP="00450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AURRTA009 Recommission vessels and engine systems</w:t>
      </w:r>
      <w:r>
        <w:fldChar w:fldCharType="end"/>
      </w:r>
    </w:p>
    <w:p w:rsidR="00450C21" w:rsidP="00450C21">
      <w:pPr>
        <w:pStyle w:val="Version"/>
        <w:sectPr w:rsidSect="00212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3AB" w:rsidP="002123AB">
      <w:pPr>
        <w:pStyle w:val="SuperHeading"/>
      </w:pPr>
      <w:r w:rsidRPr="002123AB">
        <w:t>Assessment Requirements for AURRTA009 Recommission vessels and engine systems</w:t>
      </w:r>
    </w:p>
    <w:p w:rsidR="00000000" w:rsidRPr="002123AB" w:rsidP="002123AB">
      <w:pPr>
        <w:pStyle w:val="Heading1"/>
      </w:pPr>
      <w:bookmarkStart w:id="1" w:name="O_795460"/>
      <w:bookmarkEnd w:id="1"/>
      <w:r w:rsidRPr="002123A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0C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3AB" w:rsidP="002123AB">
            <w:pPr>
              <w:pStyle w:val="BodyText"/>
            </w:pPr>
            <w:r w:rsidRPr="002123A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3AB">
            <w:pPr>
              <w:pStyle w:val="BodyText"/>
              <w:rPr>
                <w:lang w:val="en-NZ"/>
              </w:rPr>
            </w:pPr>
            <w:r w:rsidRPr="002123AB">
              <w:rPr>
                <w:rStyle w:val="SpecialBold"/>
              </w:rPr>
              <w:t>Comment</w:t>
            </w:r>
          </w:p>
        </w:tc>
      </w:tr>
      <w:tr w:rsidTr="00450C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3AB">
            <w:pPr>
              <w:pStyle w:val="BodyText"/>
              <w:rPr>
                <w:lang w:val="en-NZ"/>
              </w:rPr>
            </w:pPr>
            <w:r w:rsidRPr="002123A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3AB" w:rsidP="002123AB">
            <w:pPr>
              <w:pStyle w:val="BodyText"/>
            </w:pPr>
            <w:r w:rsidRPr="002123AB">
              <w:t>New unit of competency</w:t>
            </w:r>
          </w:p>
        </w:tc>
      </w:tr>
    </w:tbl>
    <w:p w:rsidR="00000000" w:rsidRPr="002123AB" w:rsidP="002123AB">
      <w:pPr>
        <w:pStyle w:val="BodyText"/>
      </w:pPr>
    </w:p>
    <w:p w:rsidR="00000000" w:rsidRPr="002123AB" w:rsidP="002123AB">
      <w:pPr>
        <w:pStyle w:val="AllowPageBreak"/>
      </w:pPr>
    </w:p>
    <w:p w:rsidR="00000000" w:rsidRPr="002123AB" w:rsidP="002123AB">
      <w:pPr>
        <w:pStyle w:val="Heading1"/>
      </w:pPr>
      <w:bookmarkStart w:id="2" w:name="O_795461"/>
      <w:bookmarkEnd w:id="2"/>
      <w:r w:rsidRPr="002123AB">
        <w:t>Performance Evidence</w:t>
      </w:r>
    </w:p>
    <w:p w:rsidR="00000000" w:rsidRPr="002123AB" w:rsidP="00450C21">
      <w:pPr>
        <w:pStyle w:val="BodyText"/>
      </w:pPr>
      <w:r w:rsidRPr="002123AB">
        <w:t>Befo</w:t>
      </w:r>
      <w:r w:rsidRPr="002123AB">
        <w:t>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123AB" w:rsidP="002123AB">
      <w:pPr>
        <w:pStyle w:val="ListBullet"/>
      </w:pPr>
      <w:r w:rsidRPr="002123AB">
        <w:t>recommission two different vessels an</w:t>
      </w:r>
      <w:r w:rsidRPr="002123AB">
        <w:t>d their engine systems, in which the work must involve:</w:t>
      </w:r>
    </w:p>
    <w:p w:rsidR="00000000" w:rsidRPr="002123AB" w:rsidP="002123AB">
      <w:pPr>
        <w:pStyle w:val="ListBullet2"/>
      </w:pPr>
      <w:r w:rsidRPr="002123AB">
        <w:t>preparing vessel systems for use, including:</w:t>
      </w:r>
    </w:p>
    <w:p w:rsidR="00000000" w:rsidRPr="002123AB" w:rsidP="002123AB">
      <w:pPr>
        <w:pStyle w:val="ListBullet3"/>
      </w:pPr>
      <w:r w:rsidRPr="002123AB">
        <w:t>electrical systems</w:t>
      </w:r>
    </w:p>
    <w:p w:rsidR="00000000" w:rsidRPr="002123AB" w:rsidP="002123AB">
      <w:pPr>
        <w:pStyle w:val="ListBullet3"/>
      </w:pPr>
      <w:r w:rsidRPr="002123AB">
        <w:t>steering system</w:t>
      </w:r>
    </w:p>
    <w:p w:rsidR="00000000" w:rsidRPr="002123AB" w:rsidP="002123AB">
      <w:pPr>
        <w:pStyle w:val="ListBullet3"/>
      </w:pPr>
      <w:r w:rsidRPr="002123AB">
        <w:t>safety systems</w:t>
      </w:r>
    </w:p>
    <w:p w:rsidR="00000000" w:rsidRPr="002123AB" w:rsidP="002123AB">
      <w:pPr>
        <w:pStyle w:val="ListBullet2"/>
      </w:pPr>
      <w:r w:rsidRPr="002123AB">
        <w:t>preparing engine systems for use, including:</w:t>
      </w:r>
    </w:p>
    <w:p w:rsidR="00000000" w:rsidRPr="002123AB" w:rsidP="002123AB">
      <w:pPr>
        <w:pStyle w:val="ListBullet3"/>
      </w:pPr>
      <w:r w:rsidRPr="002123AB">
        <w:t>fuel system</w:t>
      </w:r>
    </w:p>
    <w:p w:rsidR="00000000" w:rsidRPr="002123AB" w:rsidP="002123AB">
      <w:pPr>
        <w:pStyle w:val="ListBullet3"/>
      </w:pPr>
      <w:r w:rsidRPr="002123AB">
        <w:t>cooling system</w:t>
      </w:r>
    </w:p>
    <w:p w:rsidR="00000000" w:rsidRPr="002123AB" w:rsidP="002123AB">
      <w:pPr>
        <w:pStyle w:val="ListBullet3"/>
      </w:pPr>
      <w:r w:rsidRPr="002123AB">
        <w:t>driveline system.</w:t>
      </w:r>
    </w:p>
    <w:p w:rsidR="00000000" w:rsidRPr="002123AB" w:rsidP="002123AB">
      <w:pPr>
        <w:pStyle w:val="AllowPageBreak"/>
      </w:pPr>
    </w:p>
    <w:p w:rsidR="00000000" w:rsidRPr="002123AB" w:rsidP="002123AB">
      <w:pPr>
        <w:pStyle w:val="Heading1"/>
      </w:pPr>
      <w:bookmarkStart w:id="3" w:name="O_795462"/>
      <w:bookmarkEnd w:id="3"/>
      <w:r w:rsidRPr="002123AB">
        <w:t>Knowledge Evidence</w:t>
      </w:r>
    </w:p>
    <w:p w:rsidR="00000000" w:rsidRPr="002123AB" w:rsidP="00450C21">
      <w:pPr>
        <w:pStyle w:val="BodyText"/>
      </w:pPr>
      <w:r w:rsidRPr="002123AB">
        <w:t>Individuals must be able to demonstrate knowledge of:</w:t>
      </w:r>
    </w:p>
    <w:p w:rsidR="00000000" w:rsidRPr="002123AB" w:rsidP="002123AB">
      <w:pPr>
        <w:pStyle w:val="ListBullet"/>
      </w:pPr>
      <w:r w:rsidRPr="002123AB">
        <w:t>work health and safety (WHS) and occupational health and safety (OHS) requirements relating to recommissioning vessels and engine systems, including procedures for checking a</w:t>
      </w:r>
      <w:r w:rsidRPr="002123AB">
        <w:t>nd dealing with flammable gas build-up in boats</w:t>
      </w:r>
    </w:p>
    <w:p w:rsidR="00000000" w:rsidRPr="002123AB" w:rsidP="002123AB">
      <w:pPr>
        <w:pStyle w:val="ListBullet"/>
      </w:pPr>
      <w:r w:rsidRPr="002123AB">
        <w:t>environmental requirements, including:</w:t>
      </w:r>
    </w:p>
    <w:p w:rsidR="00000000" w:rsidRPr="002123AB" w:rsidP="002123AB">
      <w:pPr>
        <w:pStyle w:val="ListBullet2"/>
      </w:pPr>
      <w:r w:rsidRPr="002123AB">
        <w:t>procedures for trapping, storing and disposing of fluids drained from engine systems</w:t>
      </w:r>
    </w:p>
    <w:p w:rsidR="00000000" w:rsidRPr="002123AB" w:rsidP="002123AB">
      <w:pPr>
        <w:pStyle w:val="ListBullet2"/>
      </w:pPr>
      <w:r w:rsidRPr="002123AB">
        <w:t>procedures for disposing of batteries</w:t>
      </w:r>
    </w:p>
    <w:p w:rsidR="00000000" w:rsidRPr="002123AB" w:rsidP="002123AB">
      <w:pPr>
        <w:pStyle w:val="ListBullet"/>
      </w:pPr>
      <w:r w:rsidRPr="002123AB">
        <w:t>recommissioning procedures for vessel and engine systems, including:</w:t>
      </w:r>
    </w:p>
    <w:p w:rsidR="00000000" w:rsidRPr="002123AB" w:rsidP="002123AB">
      <w:pPr>
        <w:pStyle w:val="ListBullet2"/>
      </w:pPr>
      <w:r w:rsidRPr="002123AB">
        <w:t>properties and use of servicing fluids, lubricants and anti-corrosion products used in recommissioning procedures</w:t>
      </w:r>
    </w:p>
    <w:p w:rsidR="00000000" w:rsidRPr="002123AB" w:rsidP="002123AB">
      <w:pPr>
        <w:pStyle w:val="ListBullet2"/>
      </w:pPr>
      <w:r w:rsidRPr="002123AB">
        <w:t>preparing vessel systems for use, including:</w:t>
      </w:r>
    </w:p>
    <w:p w:rsidR="00000000" w:rsidRPr="002123AB" w:rsidP="002123AB">
      <w:pPr>
        <w:pStyle w:val="ListBullet3"/>
      </w:pPr>
      <w:r w:rsidRPr="002123AB">
        <w:t>electrical and on-board el</w:t>
      </w:r>
      <w:r w:rsidRPr="002123AB">
        <w:t>ectronic systems</w:t>
      </w:r>
    </w:p>
    <w:p w:rsidR="00000000" w:rsidRPr="002123AB" w:rsidP="002123AB">
      <w:pPr>
        <w:pStyle w:val="ListBullet3"/>
      </w:pPr>
      <w:r w:rsidRPr="002123AB">
        <w:t>steering system</w:t>
      </w:r>
    </w:p>
    <w:p w:rsidR="00000000" w:rsidRPr="002123AB" w:rsidP="002123AB">
      <w:pPr>
        <w:pStyle w:val="ListBullet3"/>
      </w:pPr>
      <w:r w:rsidRPr="002123AB">
        <w:t>safety systems, including procedures for checking flotation devices and fire extinguishers</w:t>
      </w:r>
    </w:p>
    <w:p w:rsidR="00000000" w:rsidRPr="002123AB" w:rsidP="002123AB">
      <w:pPr>
        <w:pStyle w:val="ListBullet2"/>
      </w:pPr>
      <w:r w:rsidRPr="002123AB">
        <w:t>preparing engine systems for use, including:</w:t>
      </w:r>
    </w:p>
    <w:p w:rsidR="00000000" w:rsidRPr="002123AB" w:rsidP="002123AB">
      <w:pPr>
        <w:pStyle w:val="ListBullet3"/>
      </w:pPr>
      <w:r w:rsidRPr="002123AB">
        <w:t>fuel system</w:t>
      </w:r>
    </w:p>
    <w:p w:rsidR="00000000" w:rsidRPr="002123AB" w:rsidP="002123AB">
      <w:pPr>
        <w:pStyle w:val="ListBullet3"/>
      </w:pPr>
      <w:r w:rsidRPr="002123AB">
        <w:t>cooling system</w:t>
      </w:r>
    </w:p>
    <w:p w:rsidR="00000000" w:rsidRPr="002123AB" w:rsidP="002123AB">
      <w:pPr>
        <w:pStyle w:val="ListBullet3"/>
      </w:pPr>
      <w:r w:rsidRPr="002123AB">
        <w:t>driveline system</w:t>
      </w:r>
    </w:p>
    <w:p w:rsidR="00000000" w:rsidRPr="002123AB" w:rsidP="002123AB">
      <w:pPr>
        <w:pStyle w:val="ListBullet"/>
      </w:pPr>
      <w:r w:rsidRPr="002123AB">
        <w:t>post-recommissioning te</w:t>
      </w:r>
      <w:r w:rsidRPr="002123AB">
        <w:t>sting procedures for vessel systems, including procedures for water testing vessels and systems.</w:t>
      </w:r>
    </w:p>
    <w:p w:rsidR="00000000" w:rsidRPr="002123AB" w:rsidP="002123AB">
      <w:pPr>
        <w:pStyle w:val="AllowPageBreak"/>
      </w:pPr>
    </w:p>
    <w:p w:rsidR="00000000" w:rsidRPr="002123AB" w:rsidP="002123AB">
      <w:pPr>
        <w:pStyle w:val="Heading1"/>
      </w:pPr>
      <w:bookmarkStart w:id="4" w:name="O_795463"/>
      <w:bookmarkEnd w:id="4"/>
      <w:r w:rsidRPr="002123AB">
        <w:t>Assessment Conditions</w:t>
      </w:r>
    </w:p>
    <w:p w:rsidR="00000000" w:rsidRPr="002123AB" w:rsidP="00450C21">
      <w:pPr>
        <w:pStyle w:val="BodyText"/>
      </w:pPr>
      <w:r w:rsidRPr="002123AB">
        <w:t>Assessors must satisfy NVR/AQTF assessor requirements.</w:t>
      </w:r>
    </w:p>
    <w:p w:rsidR="00000000" w:rsidRPr="002123AB" w:rsidP="00450C21">
      <w:pPr>
        <w:pStyle w:val="BodyText"/>
      </w:pPr>
      <w:r w:rsidRPr="002123AB">
        <w:t>Competency is to be assessed in the workplace or a simulated environment that accurately reflects performance in a real workplace setting.</w:t>
      </w:r>
    </w:p>
    <w:p w:rsidR="00000000" w:rsidRPr="002123AB" w:rsidP="00450C21">
      <w:pPr>
        <w:pStyle w:val="BodyText"/>
      </w:pPr>
      <w:r w:rsidRPr="002123AB">
        <w:t>Assessment must include direct observation of tasks.</w:t>
      </w:r>
    </w:p>
    <w:p w:rsidR="00000000" w:rsidRPr="002123AB" w:rsidP="00450C21">
      <w:pPr>
        <w:pStyle w:val="BodyText"/>
      </w:pPr>
      <w:r w:rsidRPr="002123AB">
        <w:t xml:space="preserve">Where assessment of competency includes third-party evidence, </w:t>
      </w:r>
      <w:r w:rsidRPr="002123AB">
        <w:t>individuals must provide evidence that links them to the vessels that they have recommissioned, e.g. repair orders.</w:t>
      </w:r>
    </w:p>
    <w:p w:rsidR="00000000" w:rsidRPr="002123AB" w:rsidP="00450C21">
      <w:pPr>
        <w:pStyle w:val="BodyText"/>
      </w:pPr>
      <w:r w:rsidRPr="002123AB">
        <w:t>Assessors must verify performance evidence through questioning on skills and knowledge to ensure correct interpretation and application.</w:t>
      </w:r>
    </w:p>
    <w:p w:rsidR="00000000" w:rsidRPr="002123AB" w:rsidP="00450C21">
      <w:pPr>
        <w:pStyle w:val="BodyText"/>
      </w:pPr>
      <w:r w:rsidRPr="002123AB">
        <w:t>T</w:t>
      </w:r>
      <w:r w:rsidRPr="002123AB">
        <w:t>he following resources must be made available:</w:t>
      </w:r>
    </w:p>
    <w:p w:rsidR="00000000" w:rsidRPr="002123AB" w:rsidP="002123AB">
      <w:pPr>
        <w:pStyle w:val="ListBullet"/>
      </w:pPr>
      <w:r w:rsidRPr="002123AB">
        <w:t>marine repair workplace or simulated workplace</w:t>
      </w:r>
    </w:p>
    <w:p w:rsidR="00000000" w:rsidRPr="002123AB" w:rsidP="002123AB">
      <w:pPr>
        <w:pStyle w:val="ListBullet"/>
      </w:pPr>
      <w:r w:rsidRPr="002123AB">
        <w:t>workplace instructions</w:t>
      </w:r>
    </w:p>
    <w:p w:rsidR="00000000" w:rsidRPr="002123AB" w:rsidP="002123AB">
      <w:pPr>
        <w:pStyle w:val="ListBullet"/>
      </w:pPr>
      <w:r w:rsidRPr="002123AB">
        <w:t>manufacturer vessel specifications</w:t>
      </w:r>
    </w:p>
    <w:p w:rsidR="00000000" w:rsidRPr="002123AB" w:rsidP="002123AB">
      <w:pPr>
        <w:pStyle w:val="ListBullet"/>
      </w:pPr>
      <w:r w:rsidRPr="002123AB">
        <w:t>two different vessels and associated engine systems requiring recommissioning</w:t>
      </w:r>
    </w:p>
    <w:p w:rsidR="00000000" w:rsidRPr="002123AB" w:rsidP="002123AB">
      <w:pPr>
        <w:pStyle w:val="ListBullet"/>
      </w:pPr>
      <w:r w:rsidRPr="002123AB">
        <w:t>testing equipment for ves</w:t>
      </w:r>
      <w:r w:rsidRPr="002123AB">
        <w:t>sel systems</w:t>
      </w:r>
    </w:p>
    <w:p w:rsidR="00000000" w:rsidRPr="002123AB" w:rsidP="002123AB">
      <w:pPr>
        <w:pStyle w:val="ListBullet"/>
      </w:pPr>
      <w:r w:rsidRPr="002123AB">
        <w:t>tools, equipment and materials appropriate for recommissioning vessels and engine systems.</w:t>
      </w:r>
    </w:p>
    <w:p w:rsidR="00000000" w:rsidRPr="002123AB" w:rsidP="002123AB">
      <w:pPr>
        <w:pStyle w:val="AllowPageBreak"/>
      </w:pPr>
    </w:p>
    <w:p w:rsidR="00000000" w:rsidRPr="002123AB" w:rsidP="002123AB">
      <w:pPr>
        <w:pStyle w:val="Heading1"/>
      </w:pPr>
      <w:bookmarkStart w:id="5" w:name="O_795466"/>
      <w:bookmarkEnd w:id="5"/>
      <w:r w:rsidRPr="002123AB">
        <w:t>Links</w:t>
      </w:r>
    </w:p>
    <w:p w:rsidR="00000000" w:rsidRPr="002123AB" w:rsidP="00450C21">
      <w:pPr>
        <w:pStyle w:val="BodyText"/>
      </w:pPr>
      <w:r w:rsidRPr="002123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971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23AB" w:rsidP="00450C21">
      <w:pPr>
        <w:pStyle w:val="BodyText"/>
      </w:pPr>
      <w:r w:rsidRPr="002123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971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23AB" w:rsidP="002123AB"/>
    <w:sectPr w:rsidSect="002123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B" w:rsidRPr="00450C21" w:rsidP="00450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 w:rsidP="00212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C21" w:rsidP="00212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0C21" w:rsidP="00212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3AB" w:rsidRPr="00450C21" w:rsidP="00450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 w:rsidRPr="002D2AF8" w:rsidP="00212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AURRTA009 Recommission vessels and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450C21" w:rsidP="00212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0A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7CB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5C72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3AB"/>
  </w:style>
  <w:style w:type="character" w:customStyle="1" w:styleId="Heading1Char">
    <w:name w:val="Heading 1 Char"/>
    <w:basedOn w:val="DefaultParagraphFont"/>
    <w:link w:val="Heading1"/>
    <w:rsid w:val="00212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3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3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3AB"/>
    <w:rPr>
      <w:b/>
      <w:spacing w:val="0"/>
    </w:rPr>
  </w:style>
  <w:style w:type="paragraph" w:styleId="ListBullet2">
    <w:name w:val="List Bullet 2"/>
    <w:basedOn w:val="List2"/>
    <w:rsid w:val="002123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2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23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2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3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3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3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3AB"/>
    <w:rPr>
      <w:i/>
    </w:rPr>
  </w:style>
  <w:style w:type="paragraph" w:styleId="Caption">
    <w:name w:val="caption"/>
    <w:basedOn w:val="BodyText"/>
    <w:next w:val="Normal"/>
    <w:qFormat/>
    <w:rsid w:val="00212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3AB"/>
  </w:style>
  <w:style w:type="paragraph" w:styleId="TableofFigures">
    <w:name w:val="table of figures"/>
    <w:basedOn w:val="Normal"/>
    <w:next w:val="Normal"/>
    <w:semiHidden/>
    <w:rsid w:val="00212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3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23AB"/>
    <w:rPr>
      <w:rFonts w:ascii="Wingdings" w:hAnsi="Wingdings"/>
    </w:rPr>
  </w:style>
  <w:style w:type="paragraph" w:customStyle="1" w:styleId="TableHeading">
    <w:name w:val="Table Heading"/>
    <w:basedOn w:val="HeadingBase"/>
    <w:rsid w:val="00212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3AB"/>
    <w:rPr>
      <w:color w:val="0033CC"/>
      <w:u w:val="none"/>
    </w:rPr>
  </w:style>
  <w:style w:type="paragraph" w:customStyle="1" w:styleId="BodyTextRight">
    <w:name w:val="Body Text Right"/>
    <w:basedOn w:val="BodyText"/>
    <w:rsid w:val="00212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3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3AB"/>
    <w:rPr>
      <w:sz w:val="32"/>
    </w:rPr>
  </w:style>
  <w:style w:type="paragraph" w:customStyle="1" w:styleId="HeadingProcedure">
    <w:name w:val="Heading Procedure"/>
    <w:basedOn w:val="HeadingBase"/>
    <w:next w:val="Normal"/>
    <w:rsid w:val="00212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3AB"/>
    <w:pPr>
      <w:spacing w:before="60" w:after="60"/>
    </w:pPr>
  </w:style>
  <w:style w:type="paragraph" w:styleId="ListContinue">
    <w:name w:val="List Continue"/>
    <w:basedOn w:val="List"/>
    <w:rsid w:val="002123AB"/>
    <w:pPr>
      <w:ind w:firstLine="0"/>
    </w:pPr>
  </w:style>
  <w:style w:type="paragraph" w:customStyle="1" w:styleId="ListNote">
    <w:name w:val="List Note"/>
    <w:basedOn w:val="List"/>
    <w:rsid w:val="00212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3AB"/>
    <w:rPr>
      <w:rFonts w:ascii="Courier New" w:hAnsi="Courier New"/>
    </w:rPr>
  </w:style>
  <w:style w:type="paragraph" w:customStyle="1" w:styleId="NoteBullet">
    <w:name w:val="Note Bullet"/>
    <w:basedOn w:val="Note"/>
    <w:rsid w:val="00212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3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2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3AB"/>
    <w:rPr>
      <w:b/>
      <w:smallCaps/>
    </w:rPr>
  </w:style>
  <w:style w:type="paragraph" w:customStyle="1" w:styleId="TableListNumber">
    <w:name w:val="Table List Number"/>
    <w:basedOn w:val="ListNumber"/>
    <w:rsid w:val="00212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3AB"/>
    <w:pPr>
      <w:numPr>
        <w:numId w:val="10"/>
      </w:numPr>
    </w:pPr>
  </w:style>
  <w:style w:type="paragraph" w:customStyle="1" w:styleId="ListAlpha2">
    <w:name w:val="List Alpha 2"/>
    <w:basedOn w:val="List2"/>
    <w:rsid w:val="002123AB"/>
    <w:pPr>
      <w:numPr>
        <w:numId w:val="9"/>
      </w:numPr>
    </w:pPr>
  </w:style>
  <w:style w:type="paragraph" w:styleId="List2">
    <w:name w:val="List 2"/>
    <w:basedOn w:val="BodyText"/>
    <w:rsid w:val="00212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3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23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23AB"/>
    <w:pPr>
      <w:numPr>
        <w:numId w:val="5"/>
      </w:numPr>
    </w:pPr>
  </w:style>
  <w:style w:type="paragraph" w:styleId="ListContinue2">
    <w:name w:val="List Continue 2"/>
    <w:basedOn w:val="List2"/>
    <w:rsid w:val="002123AB"/>
    <w:pPr>
      <w:ind w:firstLine="0"/>
    </w:pPr>
  </w:style>
  <w:style w:type="paragraph" w:styleId="ListContinue3">
    <w:name w:val="List Continue 3"/>
    <w:basedOn w:val="List3"/>
    <w:rsid w:val="002123AB"/>
    <w:pPr>
      <w:ind w:left="1021" w:firstLine="0"/>
    </w:pPr>
  </w:style>
  <w:style w:type="paragraph" w:styleId="ListContinue4">
    <w:name w:val="List Continue 4"/>
    <w:basedOn w:val="List4"/>
    <w:rsid w:val="002123AB"/>
    <w:pPr>
      <w:ind w:firstLine="0"/>
    </w:pPr>
  </w:style>
  <w:style w:type="paragraph" w:styleId="ListContinue5">
    <w:name w:val="List Continue 5"/>
    <w:basedOn w:val="List5"/>
    <w:rsid w:val="002123AB"/>
    <w:pPr>
      <w:ind w:firstLine="0"/>
    </w:pPr>
  </w:style>
  <w:style w:type="paragraph" w:styleId="ListNumber3">
    <w:name w:val="List Number 3"/>
    <w:basedOn w:val="List3"/>
    <w:rsid w:val="002123AB"/>
    <w:pPr>
      <w:numPr>
        <w:numId w:val="6"/>
      </w:numPr>
    </w:pPr>
  </w:style>
  <w:style w:type="paragraph" w:styleId="ListNumber4">
    <w:name w:val="List Number 4"/>
    <w:basedOn w:val="List4"/>
    <w:rsid w:val="002123AB"/>
    <w:pPr>
      <w:numPr>
        <w:numId w:val="7"/>
      </w:numPr>
    </w:pPr>
  </w:style>
  <w:style w:type="paragraph" w:styleId="ListNumber5">
    <w:name w:val="List Number 5"/>
    <w:basedOn w:val="List5"/>
    <w:rsid w:val="002123AB"/>
    <w:pPr>
      <w:numPr>
        <w:numId w:val="8"/>
      </w:numPr>
    </w:pPr>
  </w:style>
  <w:style w:type="paragraph" w:styleId="BlockText">
    <w:name w:val="Block Text"/>
    <w:basedOn w:val="Normal"/>
    <w:rsid w:val="00212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3AB"/>
    <w:rPr>
      <w:sz w:val="16"/>
      <w:vertAlign w:val="superscript"/>
    </w:rPr>
  </w:style>
  <w:style w:type="character" w:customStyle="1" w:styleId="Symbols">
    <w:name w:val="Symbols"/>
    <w:basedOn w:val="DefaultParagraphFont"/>
    <w:rsid w:val="002123AB"/>
    <w:rPr>
      <w:rFonts w:ascii="Symbol" w:hAnsi="Symbol"/>
    </w:rPr>
  </w:style>
  <w:style w:type="character" w:customStyle="1" w:styleId="MenuOptions">
    <w:name w:val="Menu Options"/>
    <w:basedOn w:val="DefaultParagraphFont"/>
    <w:rsid w:val="00212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3AB"/>
    <w:rPr>
      <w:b/>
    </w:rPr>
  </w:style>
  <w:style w:type="character" w:customStyle="1" w:styleId="Underlined">
    <w:name w:val="Underlined"/>
    <w:basedOn w:val="DefaultParagraphFont"/>
    <w:rsid w:val="002123AB"/>
    <w:rPr>
      <w:u w:val="single"/>
    </w:rPr>
  </w:style>
  <w:style w:type="paragraph" w:customStyle="1" w:styleId="TableBodyTextRight">
    <w:name w:val="Table Body Text Right"/>
    <w:basedOn w:val="TableBodyText"/>
    <w:rsid w:val="00212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3AB"/>
    <w:rPr>
      <w:sz w:val="18"/>
    </w:rPr>
  </w:style>
  <w:style w:type="paragraph" w:customStyle="1" w:styleId="BodySmallRight">
    <w:name w:val="Body Small Right"/>
    <w:basedOn w:val="BodyTextRight"/>
    <w:rsid w:val="002123AB"/>
    <w:rPr>
      <w:sz w:val="18"/>
      <w:szCs w:val="18"/>
    </w:rPr>
  </w:style>
  <w:style w:type="paragraph" w:customStyle="1" w:styleId="MarginEdition">
    <w:name w:val="Margin Edition"/>
    <w:basedOn w:val="MarginNote"/>
    <w:rsid w:val="00212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3AB"/>
    <w:rPr>
      <w:sz w:val="2"/>
      <w:szCs w:val="2"/>
    </w:rPr>
  </w:style>
  <w:style w:type="character" w:customStyle="1" w:styleId="Small">
    <w:name w:val="Small"/>
    <w:basedOn w:val="DefaultParagraphFont"/>
    <w:rsid w:val="002123AB"/>
    <w:rPr>
      <w:sz w:val="16"/>
    </w:rPr>
  </w:style>
  <w:style w:type="paragraph" w:customStyle="1" w:styleId="WideTable">
    <w:name w:val="Wide Table"/>
    <w:basedOn w:val="Normal"/>
    <w:rsid w:val="00212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3AB"/>
  </w:style>
  <w:style w:type="paragraph" w:styleId="Quote">
    <w:name w:val="Quote"/>
    <w:basedOn w:val="Heading1"/>
    <w:link w:val="QuoteChar"/>
    <w:qFormat/>
    <w:rsid w:val="00212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3AB"/>
    <w:pPr>
      <w:pageBreakBefore/>
    </w:pPr>
  </w:style>
  <w:style w:type="paragraph" w:customStyle="1" w:styleId="Border">
    <w:name w:val="Border"/>
    <w:basedOn w:val="Normal"/>
    <w:qFormat/>
    <w:rsid w:val="00212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3AB"/>
    <w:rPr>
      <w:u w:val="single"/>
    </w:rPr>
  </w:style>
  <w:style w:type="character" w:customStyle="1" w:styleId="BoldandItalics">
    <w:name w:val="Bold and Italics"/>
    <w:qFormat/>
    <w:rsid w:val="002123AB"/>
    <w:rPr>
      <w:b/>
      <w:i/>
      <w:u w:val="none"/>
    </w:rPr>
  </w:style>
  <w:style w:type="paragraph" w:styleId="BalloonText">
    <w:name w:val="Balloon Text"/>
    <w:basedOn w:val="Normal"/>
    <w:link w:val="BalloonTextChar"/>
    <w:rsid w:val="00212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3AB"/>
    <w:pPr>
      <w:spacing w:before="0" w:after="0"/>
    </w:pPr>
  </w:style>
  <w:style w:type="paragraph" w:customStyle="1" w:styleId="BodyTextBold">
    <w:name w:val="Body Text Bold"/>
    <w:basedOn w:val="BodyText"/>
    <w:qFormat/>
    <w:rsid w:val="002123AB"/>
    <w:rPr>
      <w:b/>
    </w:rPr>
  </w:style>
  <w:style w:type="character" w:styleId="Hyperlink">
    <w:name w:val="Hyperlink"/>
    <w:basedOn w:val="DefaultParagraphFont"/>
    <w:uiPriority w:val="99"/>
    <w:unhideWhenUsed/>
    <w:rsid w:val="00450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2918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AURRTA009 Recommission vessels and engine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2020-11-13T05:27:00Z</dcterms:created>
  <dcterms:modified xsi:type="dcterms:W3CDTF">2020-11-13T05:27:00Z</dcterms:modified>
</cp:coreProperties>
</file>