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2AE" w:rsidP="00817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AURRTA008 Analyse and evaluate faults in light marine hull performance and stability systems</w:t>
      </w:r>
      <w:r>
        <w:fldChar w:fldCharType="end"/>
      </w:r>
    </w:p>
    <w:p w:rsidR="008172AE" w:rsidP="008172AE">
      <w:pPr>
        <w:pStyle w:val="Version"/>
        <w:sectPr w:rsidSect="003B0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864" w:rsidP="003B0864">
      <w:pPr>
        <w:pStyle w:val="SuperHeading"/>
      </w:pPr>
      <w:r w:rsidRPr="003B0864">
        <w:t>Assessment Requirements for AURRTA008 Analyse and evaluate faults in light marine hull performance and stability systems</w:t>
      </w:r>
    </w:p>
    <w:p w:rsidR="00000000" w:rsidRPr="003B0864" w:rsidP="003B0864">
      <w:pPr>
        <w:pStyle w:val="Heading1"/>
      </w:pPr>
      <w:bookmarkStart w:id="1" w:name="O_774331"/>
      <w:bookmarkEnd w:id="1"/>
      <w:r w:rsidRPr="003B086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72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4" w:rsidP="003B0864">
            <w:pPr>
              <w:pStyle w:val="BodyText"/>
            </w:pPr>
            <w:r w:rsidRPr="003B086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4">
            <w:pPr>
              <w:pStyle w:val="BodyText"/>
              <w:rPr>
                <w:lang w:val="en-NZ"/>
              </w:rPr>
            </w:pPr>
            <w:r w:rsidRPr="003B0864">
              <w:rPr>
                <w:rStyle w:val="SpecialBold"/>
              </w:rPr>
              <w:t>Comment</w:t>
            </w:r>
          </w:p>
        </w:tc>
      </w:tr>
      <w:tr w:rsidTr="008172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4">
            <w:pPr>
              <w:pStyle w:val="BodyText"/>
              <w:rPr>
                <w:lang w:val="en-NZ"/>
              </w:rPr>
            </w:pPr>
            <w:r w:rsidRPr="003B086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4" w:rsidP="003B0864">
            <w:pPr>
              <w:pStyle w:val="BodyText"/>
            </w:pPr>
            <w:r w:rsidRPr="003B0864">
              <w:t>New unit of competency.</w:t>
            </w:r>
          </w:p>
        </w:tc>
      </w:tr>
    </w:tbl>
    <w:p w:rsidR="00000000" w:rsidRPr="003B0864" w:rsidP="003B0864">
      <w:pPr>
        <w:pStyle w:val="BodyText"/>
      </w:pPr>
    </w:p>
    <w:p w:rsidR="00000000" w:rsidRPr="003B0864" w:rsidP="003B0864">
      <w:pPr>
        <w:pStyle w:val="AllowPageBreak"/>
      </w:pPr>
    </w:p>
    <w:p w:rsidR="00000000" w:rsidRPr="003B0864" w:rsidP="003B0864">
      <w:pPr>
        <w:pStyle w:val="Heading1"/>
      </w:pPr>
      <w:bookmarkStart w:id="2" w:name="O_774332"/>
      <w:bookmarkEnd w:id="2"/>
      <w:r w:rsidRPr="003B0864">
        <w:t>Performance Evidence</w:t>
      </w:r>
    </w:p>
    <w:p w:rsidR="00000000" w:rsidRPr="003B0864" w:rsidP="008172AE">
      <w:pPr>
        <w:pStyle w:val="BodyText"/>
      </w:pPr>
      <w:r w:rsidRPr="003B0864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B0864" w:rsidP="003B0864">
      <w:pPr>
        <w:pStyle w:val="ListBullet"/>
      </w:pPr>
      <w:r w:rsidRPr="003B0864">
        <w:t>analyse and evaluate a fault in th</w:t>
      </w:r>
      <w:r w:rsidRPr="003B0864">
        <w:t>e hull performance and stability system of three different light marine vessels</w:t>
      </w:r>
    </w:p>
    <w:p w:rsidR="00000000" w:rsidRPr="003B0864" w:rsidP="003B0864">
      <w:pPr>
        <w:pStyle w:val="ListBullet"/>
      </w:pPr>
      <w:r w:rsidRPr="003B0864">
        <w:t>the above analysis and evaluation must involve the following:</w:t>
      </w:r>
    </w:p>
    <w:p w:rsidR="00000000" w:rsidRPr="003B0864" w:rsidP="003B0864">
      <w:pPr>
        <w:pStyle w:val="ListBullet2"/>
      </w:pPr>
      <w:r w:rsidRPr="003B0864">
        <w:t>engine performance and maximum speed</w:t>
      </w:r>
    </w:p>
    <w:p w:rsidR="00000000" w:rsidRPr="003B0864" w:rsidP="003B0864">
      <w:pPr>
        <w:pStyle w:val="ListBullet2"/>
      </w:pPr>
      <w:r w:rsidRPr="003B0864">
        <w:t xml:space="preserve">propeller matching </w:t>
      </w:r>
    </w:p>
    <w:p w:rsidR="00000000" w:rsidRPr="003B0864" w:rsidP="003B0864">
      <w:pPr>
        <w:pStyle w:val="ListBullet2"/>
      </w:pPr>
      <w:r w:rsidRPr="003B0864">
        <w:t>hull integrity.</w:t>
      </w:r>
    </w:p>
    <w:p w:rsidR="00000000" w:rsidRPr="003B0864" w:rsidP="003B0864">
      <w:pPr>
        <w:pStyle w:val="AllowPageBreak"/>
      </w:pPr>
    </w:p>
    <w:p w:rsidR="00000000" w:rsidRPr="003B0864" w:rsidP="003B0864">
      <w:pPr>
        <w:pStyle w:val="Heading1"/>
      </w:pPr>
      <w:bookmarkStart w:id="3" w:name="O_774333"/>
      <w:bookmarkEnd w:id="3"/>
      <w:r w:rsidRPr="003B0864">
        <w:t>Knowledge Evidence</w:t>
      </w:r>
    </w:p>
    <w:p w:rsidR="00000000" w:rsidRPr="003B0864" w:rsidP="008172AE">
      <w:pPr>
        <w:pStyle w:val="BodyText"/>
      </w:pPr>
      <w:r w:rsidRPr="003B0864">
        <w:t>Individuals must be able to demonstrate knowledge of:</w:t>
      </w:r>
    </w:p>
    <w:p w:rsidR="00000000" w:rsidRPr="003B0864" w:rsidP="003B0864">
      <w:pPr>
        <w:pStyle w:val="ListBullet"/>
      </w:pPr>
      <w:r w:rsidRPr="003B0864">
        <w:t>work health and safety (WHS) and occupational health and safety (OHS) requirements relating to analysing and evaluating faults in light marine hull performance and stability systems, including procedur</w:t>
      </w:r>
      <w:r w:rsidRPr="003B0864">
        <w:t>es for working with rotating shafts and propellers</w:t>
      </w:r>
    </w:p>
    <w:p w:rsidR="00000000" w:rsidRPr="003B0864" w:rsidP="003B0864">
      <w:pPr>
        <w:pStyle w:val="ListBullet"/>
      </w:pPr>
      <w:r w:rsidRPr="003B0864">
        <w:t>principles and processes involved in planning and implementing analysis and evaluation of light marine hull performance and stability systems</w:t>
      </w:r>
    </w:p>
    <w:p w:rsidR="00000000" w:rsidRPr="003B0864" w:rsidP="003B0864">
      <w:pPr>
        <w:pStyle w:val="ListBullet"/>
      </w:pPr>
      <w:r w:rsidRPr="003B0864">
        <w:t>design and planning of diagnostic procedures of light marine hu</w:t>
      </w:r>
      <w:r w:rsidRPr="003B0864">
        <w:t>ll performance and stability systems</w:t>
      </w:r>
    </w:p>
    <w:p w:rsidR="00000000" w:rsidRPr="003B0864" w:rsidP="003B0864">
      <w:pPr>
        <w:pStyle w:val="ListBullet"/>
      </w:pPr>
      <w:r w:rsidRPr="003B0864">
        <w:t>types, functions, operation and limitations of light marine hull performance and stability systems, including:</w:t>
      </w:r>
    </w:p>
    <w:p w:rsidR="00000000" w:rsidRPr="003B0864" w:rsidP="003B0864">
      <w:pPr>
        <w:pStyle w:val="ListBullet2"/>
      </w:pPr>
      <w:r w:rsidRPr="003B0864">
        <w:t>marine two-stroke, four-stroke and diesel engines</w:t>
      </w:r>
    </w:p>
    <w:p w:rsidR="00000000" w:rsidRPr="003B0864" w:rsidP="003B0864">
      <w:pPr>
        <w:pStyle w:val="ListBullet2"/>
      </w:pPr>
      <w:r w:rsidRPr="003B0864">
        <w:t>marine engine installation and rigging techniques to appl</w:t>
      </w:r>
      <w:r w:rsidRPr="003B0864">
        <w:t>icable specifications</w:t>
      </w:r>
    </w:p>
    <w:p w:rsidR="00000000" w:rsidRPr="003B0864" w:rsidP="003B0864">
      <w:pPr>
        <w:pStyle w:val="ListBullet2"/>
      </w:pPr>
      <w:r w:rsidRPr="003B0864">
        <w:t>propeller selection techniques and procedures</w:t>
      </w:r>
    </w:p>
    <w:p w:rsidR="00000000" w:rsidRPr="003B0864" w:rsidP="003B0864">
      <w:pPr>
        <w:pStyle w:val="ListBullet2"/>
      </w:pPr>
      <w:r w:rsidRPr="003B0864">
        <w:t>boat trimming methods and planning aspects</w:t>
      </w:r>
    </w:p>
    <w:p w:rsidR="00000000" w:rsidRPr="003B0864" w:rsidP="003B0864">
      <w:pPr>
        <w:pStyle w:val="ListBullet2"/>
      </w:pPr>
      <w:r w:rsidRPr="003B0864">
        <w:t>marine hull performance and design characteristics</w:t>
      </w:r>
    </w:p>
    <w:p w:rsidR="00000000" w:rsidRPr="003B0864" w:rsidP="003B0864">
      <w:pPr>
        <w:pStyle w:val="ListBullet"/>
      </w:pPr>
      <w:r w:rsidRPr="003B0864">
        <w:t xml:space="preserve">vessel systems and their impact on light marine hull performance and stability system </w:t>
      </w:r>
      <w:r w:rsidRPr="003B0864">
        <w:t>operation, including weight distribution of vessel components</w:t>
      </w:r>
    </w:p>
    <w:p w:rsidR="00000000" w:rsidRPr="003B0864" w:rsidP="003B0864">
      <w:pPr>
        <w:pStyle w:val="ListBullet"/>
      </w:pPr>
      <w:r w:rsidRPr="003B0864">
        <w:t>testing procedures for light marine hull performance and stability systems, including:</w:t>
      </w:r>
    </w:p>
    <w:p w:rsidR="00000000" w:rsidRPr="003B0864" w:rsidP="003B0864">
      <w:pPr>
        <w:pStyle w:val="ListBullet2"/>
      </w:pPr>
      <w:r w:rsidRPr="003B0864">
        <w:t>engine performance and maximum speed</w:t>
      </w:r>
    </w:p>
    <w:p w:rsidR="00000000" w:rsidRPr="003B0864" w:rsidP="003B0864">
      <w:pPr>
        <w:pStyle w:val="ListBullet2"/>
      </w:pPr>
      <w:r w:rsidRPr="003B0864">
        <w:t>propeller matching</w:t>
      </w:r>
    </w:p>
    <w:p w:rsidR="00000000" w:rsidRPr="003B0864" w:rsidP="003B0864">
      <w:pPr>
        <w:pStyle w:val="ListBullet2"/>
      </w:pPr>
      <w:r w:rsidRPr="003B0864">
        <w:t>hull performance and stability water tests</w:t>
      </w:r>
    </w:p>
    <w:p w:rsidR="00000000" w:rsidRPr="003B0864" w:rsidP="003B0864">
      <w:pPr>
        <w:pStyle w:val="ListBullet2"/>
      </w:pPr>
      <w:r w:rsidRPr="003B0864">
        <w:t>hull in</w:t>
      </w:r>
      <w:r w:rsidRPr="003B0864">
        <w:t>tegrity</w:t>
      </w:r>
    </w:p>
    <w:p w:rsidR="00000000" w:rsidRPr="003B0864" w:rsidP="003B0864">
      <w:pPr>
        <w:pStyle w:val="ListBullet"/>
      </w:pPr>
      <w:r w:rsidRPr="003B0864">
        <w:t>types, functions, operation and limitations of diagnostic testing equipment required to analyse and evaluate faults in light marine hull performance and stability systems</w:t>
      </w:r>
    </w:p>
    <w:p w:rsidR="00000000" w:rsidRPr="003B0864" w:rsidP="003B0864">
      <w:pPr>
        <w:pStyle w:val="ListBullet"/>
      </w:pPr>
      <w:r w:rsidRPr="003B0864">
        <w:t>procedures for documenting and reporting the analysis and evaluation process</w:t>
      </w:r>
      <w:r w:rsidRPr="003B0864">
        <w:t xml:space="preserve">  </w:t>
      </w:r>
    </w:p>
    <w:p w:rsidR="00000000" w:rsidRPr="003B0864" w:rsidP="003B0864">
      <w:pPr>
        <w:pStyle w:val="ListBullet"/>
      </w:pPr>
      <w:r w:rsidRPr="003B0864">
        <w:t>requirements of Australian Design Rules (ADRs) relating to light marine hull performance and stability systems.</w:t>
      </w:r>
    </w:p>
    <w:p w:rsidR="00000000" w:rsidRPr="003B0864" w:rsidP="003B0864">
      <w:pPr>
        <w:pStyle w:val="AllowPageBreak"/>
      </w:pPr>
    </w:p>
    <w:p w:rsidR="00000000" w:rsidRPr="003B0864" w:rsidP="003B0864">
      <w:pPr>
        <w:pStyle w:val="Heading1"/>
      </w:pPr>
      <w:bookmarkStart w:id="4" w:name="O_774334"/>
      <w:bookmarkEnd w:id="4"/>
      <w:r w:rsidRPr="003B0864">
        <w:t>Assessment Conditions</w:t>
      </w:r>
    </w:p>
    <w:p w:rsidR="00000000" w:rsidRPr="003B0864" w:rsidP="008172AE">
      <w:pPr>
        <w:pStyle w:val="BodyText"/>
      </w:pPr>
      <w:r w:rsidRPr="003B0864">
        <w:t>Assessors must satisfy NVR/AQTF assessor requirements.</w:t>
      </w:r>
    </w:p>
    <w:p w:rsidR="00000000" w:rsidRPr="003B0864" w:rsidP="008172AE">
      <w:pPr>
        <w:pStyle w:val="BodyText"/>
      </w:pPr>
      <w:r w:rsidRPr="003B0864">
        <w:t>Competency is to be assessed in the workplace or a simulated environment that accurately reflects performance in a real workplace setting.</w:t>
      </w:r>
    </w:p>
    <w:p w:rsidR="00000000" w:rsidRPr="003B0864" w:rsidP="008172AE">
      <w:pPr>
        <w:pStyle w:val="BodyText"/>
      </w:pPr>
      <w:r w:rsidRPr="003B0864">
        <w:t>Assessment must include direct observation of tasks.</w:t>
      </w:r>
    </w:p>
    <w:p w:rsidR="00000000" w:rsidRPr="003B0864" w:rsidP="008172AE">
      <w:pPr>
        <w:pStyle w:val="BodyText"/>
      </w:pPr>
      <w:r w:rsidRPr="003B0864">
        <w:t xml:space="preserve">Where assessment of competency includes third-party evidence, </w:t>
      </w:r>
      <w:r w:rsidRPr="003B0864">
        <w:t>individuals must provide evidence that links them to the light marine performance and stability systems that they have worked on, e.g. repair orders.</w:t>
      </w:r>
    </w:p>
    <w:p w:rsidR="00000000" w:rsidRPr="003B0864" w:rsidP="008172AE">
      <w:pPr>
        <w:pStyle w:val="BodyText"/>
      </w:pPr>
      <w:r w:rsidRPr="003B0864">
        <w:t xml:space="preserve">Assessors must verify performance evidence through questioning on skills and knowledge to ensure correct </w:t>
      </w:r>
      <w:r w:rsidRPr="003B0864">
        <w:t>interpretation and application.</w:t>
      </w:r>
    </w:p>
    <w:p w:rsidR="00000000" w:rsidRPr="003B0864" w:rsidP="008172AE">
      <w:pPr>
        <w:pStyle w:val="BodyText"/>
      </w:pPr>
      <w:r w:rsidRPr="003B0864">
        <w:t>The following resources must be made available:</w:t>
      </w:r>
    </w:p>
    <w:p w:rsidR="00000000" w:rsidRPr="003B0864" w:rsidP="003B0864">
      <w:pPr>
        <w:pStyle w:val="ListBullet"/>
      </w:pPr>
      <w:r w:rsidRPr="003B0864">
        <w:t>marine repair workplace or simulated workplace</w:t>
      </w:r>
    </w:p>
    <w:p w:rsidR="00000000" w:rsidRPr="003B0864" w:rsidP="003B0864">
      <w:pPr>
        <w:pStyle w:val="ListBullet"/>
      </w:pPr>
      <w:r w:rsidRPr="003B0864">
        <w:t>workplace instructions</w:t>
      </w:r>
    </w:p>
    <w:p w:rsidR="00000000" w:rsidRPr="003B0864" w:rsidP="003B0864">
      <w:pPr>
        <w:pStyle w:val="ListBullet"/>
      </w:pPr>
      <w:r w:rsidRPr="003B0864">
        <w:t>manufacturer hull performance and stability system specifications</w:t>
      </w:r>
    </w:p>
    <w:p w:rsidR="00000000" w:rsidRPr="003B0864" w:rsidP="003B0864">
      <w:pPr>
        <w:pStyle w:val="ListBullet"/>
      </w:pPr>
      <w:r w:rsidRPr="003B0864">
        <w:t>three different light marine vessels w</w:t>
      </w:r>
      <w:r w:rsidRPr="003B0864">
        <w:t>ith faults in the hull performance and stability systems specified in the performance evidence</w:t>
      </w:r>
    </w:p>
    <w:p w:rsidR="00000000" w:rsidRPr="003B0864" w:rsidP="003B0864">
      <w:pPr>
        <w:pStyle w:val="ListBullet"/>
      </w:pPr>
      <w:r w:rsidRPr="003B0864">
        <w:t xml:space="preserve">diagnostic equipment for light marine hull performance and stability systems </w:t>
      </w:r>
    </w:p>
    <w:p w:rsidR="00000000" w:rsidRPr="003B0864" w:rsidP="003B0864">
      <w:pPr>
        <w:pStyle w:val="ListBullet"/>
      </w:pPr>
      <w:r w:rsidRPr="003B0864">
        <w:t>tools, equipment and materials appropriate for analysing and evaluating light marin</w:t>
      </w:r>
      <w:r w:rsidRPr="003B0864">
        <w:t>e hull performance and stability systems.</w:t>
      </w:r>
    </w:p>
    <w:p w:rsidR="00000000" w:rsidRPr="003B0864" w:rsidP="003B0864">
      <w:pPr>
        <w:pStyle w:val="AllowPageBreak"/>
      </w:pPr>
    </w:p>
    <w:p w:rsidR="00000000" w:rsidRPr="003B0864" w:rsidP="003B0864">
      <w:pPr>
        <w:pStyle w:val="Heading1"/>
      </w:pPr>
      <w:bookmarkStart w:id="5" w:name="O_774337"/>
      <w:bookmarkEnd w:id="5"/>
      <w:r w:rsidRPr="003B0864">
        <w:t>Links</w:t>
      </w:r>
    </w:p>
    <w:p w:rsidR="00000000" w:rsidRPr="003B0864" w:rsidP="008172AE">
      <w:pPr>
        <w:pStyle w:val="BodyText"/>
      </w:pPr>
      <w:r w:rsidRPr="003B0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44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0864" w:rsidP="008172AE">
      <w:pPr>
        <w:pStyle w:val="BodyText"/>
      </w:pPr>
      <w:r w:rsidRPr="003B0864">
        <w:t>Companion Volume implementation guides are fo</w:t>
      </w:r>
      <w:r w:rsidRPr="003B0864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44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0864" w:rsidP="003B0864"/>
    <w:sectPr w:rsidSect="003B08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4" w:rsidRPr="008172AE" w:rsidP="00817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E" w:rsidP="003B0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2AE" w:rsidP="003B0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2AE" w:rsidP="003B0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864" w:rsidRPr="008172AE" w:rsidP="00817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E" w:rsidRPr="002D2AF8" w:rsidP="003B0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AURRTA008 Analyse and evaluate faults in light marine hull performance and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8172AE" w:rsidP="003B0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A6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CE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65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864"/>
  </w:style>
  <w:style w:type="character" w:customStyle="1" w:styleId="Heading1Char">
    <w:name w:val="Heading 1 Char"/>
    <w:basedOn w:val="DefaultParagraphFont"/>
    <w:link w:val="Heading1"/>
    <w:rsid w:val="003B0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8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8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864"/>
    <w:rPr>
      <w:b/>
      <w:spacing w:val="0"/>
    </w:rPr>
  </w:style>
  <w:style w:type="paragraph" w:styleId="ListBullet2">
    <w:name w:val="List Bullet 2"/>
    <w:basedOn w:val="List2"/>
    <w:rsid w:val="003B08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0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8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864"/>
    <w:rPr>
      <w:i/>
    </w:rPr>
  </w:style>
  <w:style w:type="paragraph" w:styleId="Caption">
    <w:name w:val="caption"/>
    <w:basedOn w:val="BodyText"/>
    <w:next w:val="Normal"/>
    <w:qFormat/>
    <w:rsid w:val="003B0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864"/>
  </w:style>
  <w:style w:type="paragraph" w:styleId="TableofFigures">
    <w:name w:val="table of figures"/>
    <w:basedOn w:val="Normal"/>
    <w:next w:val="Normal"/>
    <w:semiHidden/>
    <w:rsid w:val="003B0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8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864"/>
    <w:rPr>
      <w:rFonts w:ascii="Wingdings" w:hAnsi="Wingdings"/>
    </w:rPr>
  </w:style>
  <w:style w:type="paragraph" w:customStyle="1" w:styleId="TableHeading">
    <w:name w:val="Table Heading"/>
    <w:basedOn w:val="HeadingBase"/>
    <w:rsid w:val="003B0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864"/>
    <w:rPr>
      <w:color w:val="0033CC"/>
      <w:u w:val="none"/>
    </w:rPr>
  </w:style>
  <w:style w:type="paragraph" w:customStyle="1" w:styleId="BodyTextRight">
    <w:name w:val="Body Text Right"/>
    <w:basedOn w:val="BodyText"/>
    <w:rsid w:val="003B0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8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864"/>
    <w:rPr>
      <w:sz w:val="32"/>
    </w:rPr>
  </w:style>
  <w:style w:type="paragraph" w:customStyle="1" w:styleId="HeadingProcedure">
    <w:name w:val="Heading Procedure"/>
    <w:basedOn w:val="HeadingBase"/>
    <w:next w:val="Normal"/>
    <w:rsid w:val="003B0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864"/>
    <w:pPr>
      <w:spacing w:before="60" w:after="60"/>
    </w:pPr>
  </w:style>
  <w:style w:type="paragraph" w:styleId="ListContinue">
    <w:name w:val="List Continue"/>
    <w:basedOn w:val="List"/>
    <w:rsid w:val="003B0864"/>
    <w:pPr>
      <w:ind w:firstLine="0"/>
    </w:pPr>
  </w:style>
  <w:style w:type="paragraph" w:customStyle="1" w:styleId="ListNote">
    <w:name w:val="List Note"/>
    <w:basedOn w:val="List"/>
    <w:rsid w:val="003B0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864"/>
    <w:rPr>
      <w:rFonts w:ascii="Courier New" w:hAnsi="Courier New"/>
    </w:rPr>
  </w:style>
  <w:style w:type="paragraph" w:customStyle="1" w:styleId="NoteBullet">
    <w:name w:val="Note Bullet"/>
    <w:basedOn w:val="Note"/>
    <w:rsid w:val="003B0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8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864"/>
    <w:rPr>
      <w:b/>
      <w:smallCaps/>
    </w:rPr>
  </w:style>
  <w:style w:type="paragraph" w:customStyle="1" w:styleId="TableListNumber">
    <w:name w:val="Table List Number"/>
    <w:basedOn w:val="ListNumber"/>
    <w:rsid w:val="003B0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864"/>
    <w:pPr>
      <w:numPr>
        <w:numId w:val="9"/>
      </w:numPr>
    </w:pPr>
  </w:style>
  <w:style w:type="paragraph" w:customStyle="1" w:styleId="ListAlpha2">
    <w:name w:val="List Alpha 2"/>
    <w:basedOn w:val="List2"/>
    <w:rsid w:val="003B0864"/>
    <w:pPr>
      <w:numPr>
        <w:numId w:val="8"/>
      </w:numPr>
    </w:pPr>
  </w:style>
  <w:style w:type="paragraph" w:styleId="List2">
    <w:name w:val="List 2"/>
    <w:basedOn w:val="BodyText"/>
    <w:rsid w:val="003B0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8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8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864"/>
    <w:pPr>
      <w:numPr>
        <w:numId w:val="4"/>
      </w:numPr>
    </w:pPr>
  </w:style>
  <w:style w:type="paragraph" w:styleId="ListContinue2">
    <w:name w:val="List Continue 2"/>
    <w:basedOn w:val="List2"/>
    <w:rsid w:val="003B0864"/>
    <w:pPr>
      <w:ind w:firstLine="0"/>
    </w:pPr>
  </w:style>
  <w:style w:type="paragraph" w:styleId="ListContinue3">
    <w:name w:val="List Continue 3"/>
    <w:basedOn w:val="List3"/>
    <w:rsid w:val="003B0864"/>
    <w:pPr>
      <w:ind w:left="1021" w:firstLine="0"/>
    </w:pPr>
  </w:style>
  <w:style w:type="paragraph" w:styleId="ListContinue4">
    <w:name w:val="List Continue 4"/>
    <w:basedOn w:val="List4"/>
    <w:rsid w:val="003B0864"/>
    <w:pPr>
      <w:ind w:firstLine="0"/>
    </w:pPr>
  </w:style>
  <w:style w:type="paragraph" w:styleId="ListContinue5">
    <w:name w:val="List Continue 5"/>
    <w:basedOn w:val="List5"/>
    <w:rsid w:val="003B0864"/>
    <w:pPr>
      <w:ind w:firstLine="0"/>
    </w:pPr>
  </w:style>
  <w:style w:type="paragraph" w:styleId="ListNumber3">
    <w:name w:val="List Number 3"/>
    <w:basedOn w:val="List3"/>
    <w:rsid w:val="003B0864"/>
    <w:pPr>
      <w:numPr>
        <w:numId w:val="5"/>
      </w:numPr>
    </w:pPr>
  </w:style>
  <w:style w:type="paragraph" w:styleId="ListNumber4">
    <w:name w:val="List Number 4"/>
    <w:basedOn w:val="List4"/>
    <w:rsid w:val="003B0864"/>
    <w:pPr>
      <w:numPr>
        <w:numId w:val="6"/>
      </w:numPr>
    </w:pPr>
  </w:style>
  <w:style w:type="paragraph" w:styleId="ListNumber5">
    <w:name w:val="List Number 5"/>
    <w:basedOn w:val="List5"/>
    <w:rsid w:val="003B0864"/>
    <w:pPr>
      <w:numPr>
        <w:numId w:val="7"/>
      </w:numPr>
    </w:pPr>
  </w:style>
  <w:style w:type="paragraph" w:styleId="BlockText">
    <w:name w:val="Block Text"/>
    <w:basedOn w:val="Normal"/>
    <w:rsid w:val="003B0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864"/>
    <w:rPr>
      <w:sz w:val="16"/>
      <w:vertAlign w:val="superscript"/>
    </w:rPr>
  </w:style>
  <w:style w:type="character" w:customStyle="1" w:styleId="Symbols">
    <w:name w:val="Symbols"/>
    <w:basedOn w:val="DefaultParagraphFont"/>
    <w:rsid w:val="003B0864"/>
    <w:rPr>
      <w:rFonts w:ascii="Symbol" w:hAnsi="Symbol"/>
    </w:rPr>
  </w:style>
  <w:style w:type="character" w:customStyle="1" w:styleId="MenuOptions">
    <w:name w:val="Menu Options"/>
    <w:basedOn w:val="DefaultParagraphFont"/>
    <w:rsid w:val="003B0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864"/>
    <w:rPr>
      <w:b/>
    </w:rPr>
  </w:style>
  <w:style w:type="character" w:customStyle="1" w:styleId="Underlined">
    <w:name w:val="Underlined"/>
    <w:basedOn w:val="DefaultParagraphFont"/>
    <w:rsid w:val="003B0864"/>
    <w:rPr>
      <w:u w:val="single"/>
    </w:rPr>
  </w:style>
  <w:style w:type="paragraph" w:customStyle="1" w:styleId="TableBodyTextRight">
    <w:name w:val="Table Body Text Right"/>
    <w:basedOn w:val="TableBodyText"/>
    <w:rsid w:val="003B0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864"/>
    <w:rPr>
      <w:sz w:val="18"/>
    </w:rPr>
  </w:style>
  <w:style w:type="paragraph" w:customStyle="1" w:styleId="BodySmallRight">
    <w:name w:val="Body Small Right"/>
    <w:basedOn w:val="BodyTextRight"/>
    <w:rsid w:val="003B0864"/>
    <w:rPr>
      <w:sz w:val="18"/>
      <w:szCs w:val="18"/>
    </w:rPr>
  </w:style>
  <w:style w:type="paragraph" w:customStyle="1" w:styleId="MarginEdition">
    <w:name w:val="Margin Edition"/>
    <w:basedOn w:val="MarginNote"/>
    <w:rsid w:val="003B0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864"/>
    <w:rPr>
      <w:sz w:val="2"/>
      <w:szCs w:val="2"/>
    </w:rPr>
  </w:style>
  <w:style w:type="character" w:customStyle="1" w:styleId="Small">
    <w:name w:val="Small"/>
    <w:basedOn w:val="DefaultParagraphFont"/>
    <w:rsid w:val="003B0864"/>
    <w:rPr>
      <w:sz w:val="16"/>
    </w:rPr>
  </w:style>
  <w:style w:type="paragraph" w:customStyle="1" w:styleId="WideTable">
    <w:name w:val="Wide Table"/>
    <w:basedOn w:val="Normal"/>
    <w:rsid w:val="003B0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864"/>
  </w:style>
  <w:style w:type="paragraph" w:styleId="Quote">
    <w:name w:val="Quote"/>
    <w:basedOn w:val="Heading1"/>
    <w:link w:val="QuoteChar"/>
    <w:qFormat/>
    <w:rsid w:val="003B0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864"/>
    <w:pPr>
      <w:pageBreakBefore/>
    </w:pPr>
  </w:style>
  <w:style w:type="paragraph" w:customStyle="1" w:styleId="Border">
    <w:name w:val="Border"/>
    <w:basedOn w:val="Normal"/>
    <w:qFormat/>
    <w:rsid w:val="003B0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864"/>
    <w:rPr>
      <w:u w:val="single"/>
    </w:rPr>
  </w:style>
  <w:style w:type="character" w:customStyle="1" w:styleId="BoldandItalics">
    <w:name w:val="Bold and Italics"/>
    <w:qFormat/>
    <w:rsid w:val="003B0864"/>
    <w:rPr>
      <w:b/>
      <w:i/>
      <w:u w:val="none"/>
    </w:rPr>
  </w:style>
  <w:style w:type="paragraph" w:styleId="BalloonText">
    <w:name w:val="Balloon Text"/>
    <w:basedOn w:val="Normal"/>
    <w:link w:val="BalloonTextChar"/>
    <w:rsid w:val="003B0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864"/>
    <w:pPr>
      <w:spacing w:before="0" w:after="0"/>
    </w:pPr>
  </w:style>
  <w:style w:type="paragraph" w:customStyle="1" w:styleId="BodyTextBold">
    <w:name w:val="Body Text Bold"/>
    <w:basedOn w:val="BodyText"/>
    <w:qFormat/>
    <w:rsid w:val="003B0864"/>
    <w:rPr>
      <w:b/>
    </w:rPr>
  </w:style>
  <w:style w:type="character" w:styleId="Hyperlink">
    <w:name w:val="Hyperlink"/>
    <w:basedOn w:val="DefaultParagraphFont"/>
    <w:uiPriority w:val="99"/>
    <w:unhideWhenUsed/>
    <w:rsid w:val="00817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3655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AURRTA008 Analyse and evaluate faults in light marine hull performance and stability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2020-11-13T04:57:00Z</dcterms:created>
  <dcterms:modified xsi:type="dcterms:W3CDTF">2020-11-13T04:57:00Z</dcterms:modified>
</cp:coreProperties>
</file>