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CA3" w:rsidP="00CB7C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AURRTA006 Water test vessels</w:t>
      </w:r>
      <w:r>
        <w:fldChar w:fldCharType="end"/>
      </w:r>
    </w:p>
    <w:p w:rsidR="00CB7CA3" w:rsidP="00CB7CA3">
      <w:pPr>
        <w:pStyle w:val="Version"/>
        <w:sectPr w:rsidSect="00F912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2EF" w:rsidP="00F912EF">
      <w:pPr>
        <w:pStyle w:val="SuperHeading"/>
      </w:pPr>
      <w:r w:rsidRPr="00F912EF">
        <w:t>Assessment Requirements for AURRTA006 Water test vessels</w:t>
      </w:r>
    </w:p>
    <w:p w:rsidR="00000000" w:rsidRPr="00F912EF" w:rsidP="00F912EF">
      <w:pPr>
        <w:pStyle w:val="Heading1"/>
      </w:pPr>
      <w:bookmarkStart w:id="1" w:name="O_795441"/>
      <w:bookmarkEnd w:id="1"/>
      <w:r w:rsidRPr="00F912E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B7C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EF" w:rsidP="00F912EF">
            <w:pPr>
              <w:pStyle w:val="BodyText"/>
            </w:pPr>
            <w:r w:rsidRPr="00F912E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EF">
            <w:pPr>
              <w:pStyle w:val="BodyText"/>
              <w:rPr>
                <w:lang w:val="en-NZ"/>
              </w:rPr>
            </w:pPr>
            <w:r w:rsidRPr="00F912EF">
              <w:rPr>
                <w:rStyle w:val="SpecialBold"/>
              </w:rPr>
              <w:t>Comment</w:t>
            </w:r>
          </w:p>
        </w:tc>
      </w:tr>
      <w:tr w:rsidTr="00CB7C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EF">
            <w:pPr>
              <w:pStyle w:val="BodyText"/>
              <w:rPr>
                <w:lang w:val="en-NZ"/>
              </w:rPr>
            </w:pPr>
            <w:r w:rsidRPr="00F912E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EF" w:rsidP="00F912EF">
            <w:pPr>
              <w:pStyle w:val="BodyText"/>
            </w:pPr>
            <w:r w:rsidRPr="00F912EF">
              <w:t>New unit of competency.</w:t>
            </w:r>
          </w:p>
        </w:tc>
      </w:tr>
    </w:tbl>
    <w:p w:rsidR="00000000" w:rsidRPr="00F912EF" w:rsidP="00F912EF">
      <w:pPr>
        <w:pStyle w:val="BodyText"/>
      </w:pPr>
    </w:p>
    <w:p w:rsidR="00000000" w:rsidRPr="00F912EF" w:rsidP="00F912EF">
      <w:pPr>
        <w:pStyle w:val="AllowPageBreak"/>
      </w:pPr>
    </w:p>
    <w:p w:rsidR="00000000" w:rsidRPr="00F912EF" w:rsidP="00F912EF">
      <w:pPr>
        <w:pStyle w:val="Heading1"/>
      </w:pPr>
      <w:bookmarkStart w:id="2" w:name="O_795442"/>
      <w:bookmarkEnd w:id="2"/>
      <w:r w:rsidRPr="00F912EF">
        <w:t>Performance Evidence</w:t>
      </w:r>
    </w:p>
    <w:p w:rsidR="00000000" w:rsidRPr="00F912EF" w:rsidP="00CB7CA3">
      <w:pPr>
        <w:pStyle w:val="BodyText"/>
      </w:pPr>
      <w:r w:rsidRPr="00F912EF">
        <w:t>Before competency can be determined, individuals must demonstrate they can perform the following according to the standards defi</w:t>
      </w:r>
      <w:r w:rsidRPr="00F912EF">
        <w:t>ned in this unit’s elements, performance criteria, range of conditions and foundation skills:</w:t>
      </w:r>
    </w:p>
    <w:p w:rsidR="00000000" w:rsidRPr="00F912EF" w:rsidP="00F912EF">
      <w:pPr>
        <w:pStyle w:val="ListBullet2"/>
      </w:pPr>
      <w:r w:rsidRPr="00F912EF">
        <w:t>water test two different vessels with engines, propulsion units and hull fittings, in which the work must involve water testing navigation lights and safety equi</w:t>
      </w:r>
      <w:r w:rsidRPr="00F912EF">
        <w:t>pment.</w:t>
      </w:r>
    </w:p>
    <w:p w:rsidR="00000000" w:rsidRPr="00F912EF" w:rsidP="00F912EF">
      <w:pPr>
        <w:pStyle w:val="AllowPageBreak"/>
      </w:pPr>
    </w:p>
    <w:p w:rsidR="00000000" w:rsidRPr="00F912EF" w:rsidP="00F912EF">
      <w:pPr>
        <w:pStyle w:val="Heading1"/>
      </w:pPr>
      <w:bookmarkStart w:id="3" w:name="O_795443"/>
      <w:bookmarkEnd w:id="3"/>
      <w:r w:rsidRPr="00F912EF">
        <w:t>Knowledge Evidence</w:t>
      </w:r>
    </w:p>
    <w:p w:rsidR="00000000" w:rsidRPr="00F912EF" w:rsidP="00CB7CA3">
      <w:pPr>
        <w:pStyle w:val="BodyText"/>
      </w:pPr>
      <w:r w:rsidRPr="00F912EF">
        <w:t>Individuals must be able to demonstrate knowledge of:</w:t>
      </w:r>
    </w:p>
    <w:p w:rsidR="00000000" w:rsidRPr="00F912EF" w:rsidP="00F912EF">
      <w:pPr>
        <w:pStyle w:val="ListBullet"/>
      </w:pPr>
      <w:r w:rsidRPr="00F912EF">
        <w:t>work health and safety (WHS) and occupational health and safety (OHS) requirements relating to water testing vessels, including procedures for:</w:t>
      </w:r>
    </w:p>
    <w:p w:rsidR="00000000" w:rsidRPr="00F912EF" w:rsidP="00F912EF">
      <w:pPr>
        <w:pStyle w:val="ListBullet2"/>
      </w:pPr>
      <w:r w:rsidRPr="00F912EF">
        <w:t>selecting and using personal protective equipment (PPE), including personal flotation devices</w:t>
      </w:r>
    </w:p>
    <w:p w:rsidR="00000000" w:rsidRPr="00F912EF" w:rsidP="00F912EF">
      <w:pPr>
        <w:pStyle w:val="ListBullet2"/>
      </w:pPr>
      <w:r w:rsidRPr="00F912EF">
        <w:t>following state or territory legislation, regulations and marine safety laws relating to operating a vessel in an estuary or seaway, including:</w:t>
      </w:r>
    </w:p>
    <w:p w:rsidR="00000000" w:rsidRPr="00F912EF" w:rsidP="00F912EF">
      <w:pPr>
        <w:pStyle w:val="ListBullet3"/>
      </w:pPr>
      <w:r w:rsidRPr="00F912EF">
        <w:t>holding a boat dr</w:t>
      </w:r>
      <w:r w:rsidRPr="00F912EF">
        <w:t>iver licence</w:t>
      </w:r>
    </w:p>
    <w:p w:rsidR="00000000" w:rsidRPr="00F912EF" w:rsidP="00F912EF">
      <w:pPr>
        <w:pStyle w:val="ListBullet3"/>
      </w:pPr>
      <w:r w:rsidRPr="00F912EF">
        <w:t>speed restrictions</w:t>
      </w:r>
    </w:p>
    <w:p w:rsidR="00000000" w:rsidRPr="00F912EF" w:rsidP="00F912EF">
      <w:pPr>
        <w:pStyle w:val="ListBullet3"/>
      </w:pPr>
      <w:r w:rsidRPr="00F912EF">
        <w:t>navigation rules</w:t>
      </w:r>
    </w:p>
    <w:p w:rsidR="00000000" w:rsidRPr="00F912EF" w:rsidP="00F912EF">
      <w:pPr>
        <w:pStyle w:val="ListBullet3"/>
      </w:pPr>
      <w:r w:rsidRPr="00F912EF">
        <w:t>boat capacity</w:t>
      </w:r>
    </w:p>
    <w:p w:rsidR="00000000" w:rsidRPr="00F912EF" w:rsidP="00F912EF">
      <w:pPr>
        <w:pStyle w:val="ListBullet"/>
      </w:pPr>
      <w:r w:rsidRPr="00F912EF">
        <w:t>pre-launch inspection procedures, including inspection procedures for:</w:t>
      </w:r>
    </w:p>
    <w:p w:rsidR="00000000" w:rsidRPr="00F912EF" w:rsidP="00F912EF">
      <w:pPr>
        <w:pStyle w:val="ListBullet2"/>
      </w:pPr>
      <w:r w:rsidRPr="00F912EF">
        <w:t>vessel safety equipment, including:</w:t>
      </w:r>
    </w:p>
    <w:p w:rsidR="00000000" w:rsidRPr="00F912EF" w:rsidP="00F912EF">
      <w:pPr>
        <w:pStyle w:val="ListBullet3"/>
      </w:pPr>
      <w:r w:rsidRPr="00F912EF">
        <w:t>life jackets</w:t>
      </w:r>
    </w:p>
    <w:p w:rsidR="00000000" w:rsidRPr="00F912EF" w:rsidP="00F912EF">
      <w:pPr>
        <w:pStyle w:val="ListBullet3"/>
      </w:pPr>
      <w:r w:rsidRPr="00F912EF">
        <w:t>anchors</w:t>
      </w:r>
    </w:p>
    <w:p w:rsidR="00000000" w:rsidRPr="00F912EF" w:rsidP="00F912EF">
      <w:pPr>
        <w:pStyle w:val="ListBullet3"/>
      </w:pPr>
      <w:r w:rsidRPr="00F912EF">
        <w:t>bailer or fire bucket and lanyard</w:t>
      </w:r>
    </w:p>
    <w:p w:rsidR="00000000" w:rsidRPr="00F912EF" w:rsidP="00F912EF">
      <w:pPr>
        <w:pStyle w:val="ListBullet3"/>
      </w:pPr>
      <w:r w:rsidRPr="00F912EF">
        <w:t>bilge pump</w:t>
      </w:r>
    </w:p>
    <w:p w:rsidR="00000000" w:rsidRPr="00F912EF" w:rsidP="00F912EF">
      <w:pPr>
        <w:pStyle w:val="ListBullet3"/>
      </w:pPr>
      <w:r w:rsidRPr="00F912EF">
        <w:t>compass</w:t>
      </w:r>
    </w:p>
    <w:p w:rsidR="00000000" w:rsidRPr="00F912EF" w:rsidP="00F912EF">
      <w:pPr>
        <w:pStyle w:val="ListBullet3"/>
      </w:pPr>
      <w:r w:rsidRPr="00F912EF">
        <w:t>distress flares</w:t>
      </w:r>
    </w:p>
    <w:p w:rsidR="00000000" w:rsidRPr="00F912EF" w:rsidP="00F912EF">
      <w:pPr>
        <w:pStyle w:val="ListBullet3"/>
      </w:pPr>
      <w:r w:rsidRPr="00F912EF">
        <w:t>emergency position indicating radio beacon (EPIRB)</w:t>
      </w:r>
    </w:p>
    <w:p w:rsidR="00000000" w:rsidRPr="00F912EF" w:rsidP="00F912EF">
      <w:pPr>
        <w:pStyle w:val="ListBullet3"/>
      </w:pPr>
      <w:r w:rsidRPr="00F912EF">
        <w:t>fire extinguisher</w:t>
      </w:r>
    </w:p>
    <w:p w:rsidR="00000000" w:rsidRPr="00F912EF" w:rsidP="00F912EF">
      <w:pPr>
        <w:pStyle w:val="ListBullet3"/>
      </w:pPr>
      <w:r w:rsidRPr="00F912EF">
        <w:t>map</w:t>
      </w:r>
    </w:p>
    <w:p w:rsidR="00000000" w:rsidRPr="00F912EF" w:rsidP="00F912EF">
      <w:pPr>
        <w:pStyle w:val="ListBullet3"/>
      </w:pPr>
      <w:r w:rsidRPr="00F912EF">
        <w:t>marine radio</w:t>
      </w:r>
    </w:p>
    <w:p w:rsidR="00000000" w:rsidRPr="00F912EF" w:rsidP="00F912EF">
      <w:pPr>
        <w:pStyle w:val="ListBullet3"/>
      </w:pPr>
      <w:r w:rsidRPr="00F912EF">
        <w:t>paddles and oars</w:t>
      </w:r>
    </w:p>
    <w:p w:rsidR="00000000" w:rsidRPr="00F912EF" w:rsidP="00F912EF">
      <w:pPr>
        <w:pStyle w:val="ListBullet3"/>
      </w:pPr>
      <w:r w:rsidRPr="00F912EF">
        <w:t>safety and capacity labels</w:t>
      </w:r>
    </w:p>
    <w:p w:rsidR="00000000" w:rsidRPr="00F912EF" w:rsidP="00F912EF">
      <w:pPr>
        <w:pStyle w:val="ListBullet3"/>
      </w:pPr>
      <w:r w:rsidRPr="00F912EF">
        <w:t>sound signals</w:t>
      </w:r>
    </w:p>
    <w:p w:rsidR="00000000" w:rsidRPr="00F912EF" w:rsidP="00F912EF">
      <w:pPr>
        <w:pStyle w:val="ListBullet3"/>
      </w:pPr>
      <w:r w:rsidRPr="00F912EF">
        <w:t>drinking water</w:t>
      </w:r>
    </w:p>
    <w:p w:rsidR="00000000" w:rsidRPr="00F912EF" w:rsidP="00F912EF">
      <w:pPr>
        <w:pStyle w:val="ListBullet3"/>
      </w:pPr>
      <w:r w:rsidRPr="00F912EF">
        <w:t>waterproof torch</w:t>
      </w:r>
    </w:p>
    <w:p w:rsidR="00000000" w:rsidRPr="00F912EF" w:rsidP="00F912EF">
      <w:pPr>
        <w:pStyle w:val="ListBullet2"/>
      </w:pPr>
      <w:r w:rsidRPr="00F912EF">
        <w:t>hulls and fittings</w:t>
      </w:r>
    </w:p>
    <w:p w:rsidR="00000000" w:rsidRPr="00F912EF" w:rsidP="00F912EF">
      <w:pPr>
        <w:pStyle w:val="ListBullet2"/>
      </w:pPr>
      <w:r w:rsidRPr="00F912EF">
        <w:t>navigation lights</w:t>
      </w:r>
    </w:p>
    <w:p w:rsidR="00000000" w:rsidRPr="00F912EF" w:rsidP="00F912EF">
      <w:pPr>
        <w:pStyle w:val="ListBullet2"/>
      </w:pPr>
      <w:r w:rsidRPr="00F912EF">
        <w:t>steering system</w:t>
      </w:r>
    </w:p>
    <w:p w:rsidR="00000000" w:rsidRPr="00F912EF" w:rsidP="00F912EF">
      <w:pPr>
        <w:pStyle w:val="ListBullet2"/>
      </w:pPr>
      <w:r w:rsidRPr="00F912EF">
        <w:t>fuel system</w:t>
      </w:r>
    </w:p>
    <w:p w:rsidR="00000000" w:rsidRPr="00F912EF" w:rsidP="00F912EF">
      <w:pPr>
        <w:pStyle w:val="ListBullet"/>
      </w:pPr>
      <w:r w:rsidRPr="00F912EF">
        <w:t>factors influencing vessel performance, including:</w:t>
      </w:r>
    </w:p>
    <w:p w:rsidR="00000000" w:rsidRPr="00F912EF" w:rsidP="00F912EF">
      <w:pPr>
        <w:pStyle w:val="ListBullet2"/>
      </w:pPr>
      <w:r w:rsidRPr="00F912EF">
        <w:t>basic hull design and hydrodynamics</w:t>
      </w:r>
    </w:p>
    <w:p w:rsidR="00000000" w:rsidRPr="00F912EF" w:rsidP="00F912EF">
      <w:pPr>
        <w:pStyle w:val="ListBullet2"/>
      </w:pPr>
      <w:r w:rsidRPr="00F912EF">
        <w:t>hull type, including:</w:t>
      </w:r>
    </w:p>
    <w:p w:rsidR="00000000" w:rsidRPr="00F912EF" w:rsidP="00F912EF">
      <w:pPr>
        <w:pStyle w:val="ListBullet3"/>
      </w:pPr>
      <w:r w:rsidRPr="00F912EF">
        <w:t>planing</w:t>
      </w:r>
    </w:p>
    <w:p w:rsidR="00000000" w:rsidRPr="00F912EF" w:rsidP="00F912EF">
      <w:pPr>
        <w:pStyle w:val="ListBullet3"/>
      </w:pPr>
      <w:r w:rsidRPr="00F912EF">
        <w:t>displacement</w:t>
      </w:r>
    </w:p>
    <w:p w:rsidR="00000000" w:rsidRPr="00F912EF" w:rsidP="00F912EF">
      <w:pPr>
        <w:pStyle w:val="ListBullet3"/>
      </w:pPr>
      <w:r w:rsidRPr="00F912EF">
        <w:t>single and multi-hull</w:t>
      </w:r>
    </w:p>
    <w:p w:rsidR="00000000" w:rsidRPr="00F912EF" w:rsidP="00F912EF">
      <w:pPr>
        <w:pStyle w:val="ListBullet3"/>
      </w:pPr>
      <w:r w:rsidRPr="00F912EF">
        <w:t>hull fittings</w:t>
      </w:r>
    </w:p>
    <w:p w:rsidR="00000000" w:rsidRPr="00F912EF" w:rsidP="00F912EF">
      <w:pPr>
        <w:pStyle w:val="ListBullet2"/>
      </w:pPr>
      <w:r w:rsidRPr="00F912EF">
        <w:t>engine, including:</w:t>
      </w:r>
    </w:p>
    <w:p w:rsidR="00000000" w:rsidRPr="00F912EF" w:rsidP="00F912EF">
      <w:pPr>
        <w:pStyle w:val="ListBullet3"/>
      </w:pPr>
      <w:r w:rsidRPr="00F912EF">
        <w:t>type</w:t>
      </w:r>
    </w:p>
    <w:p w:rsidR="00000000" w:rsidRPr="00F912EF" w:rsidP="00F912EF">
      <w:pPr>
        <w:pStyle w:val="ListBullet3"/>
      </w:pPr>
      <w:r w:rsidRPr="00F912EF">
        <w:t>size</w:t>
      </w:r>
    </w:p>
    <w:p w:rsidR="00000000" w:rsidRPr="00F912EF" w:rsidP="00F912EF">
      <w:pPr>
        <w:pStyle w:val="ListBullet3"/>
      </w:pPr>
      <w:r w:rsidRPr="00F912EF">
        <w:t>single and multi-cylinder</w:t>
      </w:r>
    </w:p>
    <w:p w:rsidR="00000000" w:rsidRPr="00F912EF" w:rsidP="00F912EF">
      <w:pPr>
        <w:pStyle w:val="ListBullet2"/>
      </w:pPr>
      <w:r w:rsidRPr="00F912EF">
        <w:t>engine and hull match</w:t>
      </w:r>
    </w:p>
    <w:p w:rsidR="00000000" w:rsidRPr="00F912EF" w:rsidP="00F912EF">
      <w:pPr>
        <w:pStyle w:val="ListBullet2"/>
      </w:pPr>
      <w:r w:rsidRPr="00F912EF">
        <w:t>engine propeller match</w:t>
      </w:r>
    </w:p>
    <w:p w:rsidR="00000000" w:rsidRPr="00F912EF" w:rsidP="00F912EF">
      <w:pPr>
        <w:pStyle w:val="ListBullet2"/>
      </w:pPr>
      <w:r w:rsidRPr="00F912EF">
        <w:t>vessel, including:</w:t>
      </w:r>
    </w:p>
    <w:p w:rsidR="00000000" w:rsidRPr="00F912EF" w:rsidP="00F912EF">
      <w:pPr>
        <w:pStyle w:val="ListBullet3"/>
      </w:pPr>
      <w:r w:rsidRPr="00F912EF">
        <w:t>type</w:t>
      </w:r>
    </w:p>
    <w:p w:rsidR="00000000" w:rsidRPr="00F912EF" w:rsidP="00F912EF">
      <w:pPr>
        <w:pStyle w:val="ListBullet3"/>
      </w:pPr>
      <w:r w:rsidRPr="00F912EF">
        <w:t>size</w:t>
      </w:r>
    </w:p>
    <w:p w:rsidR="00000000" w:rsidRPr="00F912EF" w:rsidP="00F912EF">
      <w:pPr>
        <w:pStyle w:val="ListBullet3"/>
      </w:pPr>
      <w:r w:rsidRPr="00F912EF">
        <w:t>age</w:t>
      </w:r>
    </w:p>
    <w:p w:rsidR="00000000" w:rsidRPr="00F912EF" w:rsidP="00F912EF">
      <w:pPr>
        <w:pStyle w:val="ListBullet"/>
      </w:pPr>
      <w:r w:rsidRPr="00F912EF">
        <w:t>modifications and additions to existing vessel</w:t>
      </w:r>
    </w:p>
    <w:p w:rsidR="00000000" w:rsidRPr="00F912EF" w:rsidP="00F912EF">
      <w:pPr>
        <w:pStyle w:val="ListBullet2"/>
      </w:pPr>
      <w:r w:rsidRPr="00F912EF">
        <w:t>water testing procedures for vessels, including water testing engine performance, propulsion units, and hull and hull f</w:t>
      </w:r>
      <w:r w:rsidRPr="00F912EF">
        <w:t>ittings, including:</w:t>
      </w:r>
    </w:p>
    <w:p w:rsidR="00000000" w:rsidRPr="00F912EF" w:rsidP="00F912EF">
      <w:pPr>
        <w:pStyle w:val="ListBullet2"/>
      </w:pPr>
      <w:r w:rsidRPr="00F912EF">
        <w:t>testing engine performance by operating engine through full operating range</w:t>
      </w:r>
    </w:p>
    <w:p w:rsidR="00000000" w:rsidRPr="00F912EF" w:rsidP="00F912EF">
      <w:pPr>
        <w:pStyle w:val="ListBullet2"/>
      </w:pPr>
      <w:r w:rsidRPr="00F912EF">
        <w:t>testing propulsion unit by operating through full range of speeds and directions</w:t>
      </w:r>
    </w:p>
    <w:p w:rsidR="00000000" w:rsidRPr="00F912EF" w:rsidP="00F912EF">
      <w:pPr>
        <w:pStyle w:val="ListBullet2"/>
      </w:pPr>
      <w:r w:rsidRPr="00F912EF">
        <w:t>testing hull and hull fittings by operating through full range of performance c</w:t>
      </w:r>
      <w:r w:rsidRPr="00F912EF">
        <w:t>onditions</w:t>
      </w:r>
    </w:p>
    <w:p w:rsidR="00000000" w:rsidRPr="00F912EF" w:rsidP="00F912EF">
      <w:pPr>
        <w:pStyle w:val="ListBullet2"/>
      </w:pPr>
      <w:r w:rsidRPr="00F912EF">
        <w:t>testing to establish that current configuration is performing to manufacturer specifications</w:t>
      </w:r>
    </w:p>
    <w:p w:rsidR="00000000" w:rsidRPr="00F912EF" w:rsidP="00F912EF">
      <w:pPr>
        <w:pStyle w:val="ListBullet"/>
      </w:pPr>
      <w:r w:rsidRPr="00F912EF">
        <w:t>procedures for test report compilation and presentation.</w:t>
      </w:r>
    </w:p>
    <w:p w:rsidR="00000000" w:rsidRPr="00F912EF" w:rsidP="00F912EF">
      <w:pPr>
        <w:pStyle w:val="AllowPageBreak"/>
      </w:pPr>
    </w:p>
    <w:p w:rsidR="00000000" w:rsidRPr="00F912EF" w:rsidP="00F912EF">
      <w:pPr>
        <w:pStyle w:val="Heading1"/>
      </w:pPr>
      <w:bookmarkStart w:id="4" w:name="O_795444"/>
      <w:bookmarkEnd w:id="4"/>
      <w:r w:rsidRPr="00F912EF">
        <w:t>Assessment Conditions</w:t>
      </w:r>
    </w:p>
    <w:p w:rsidR="00000000" w:rsidRPr="00F912EF" w:rsidP="00CB7CA3">
      <w:pPr>
        <w:pStyle w:val="BodyText"/>
      </w:pPr>
      <w:r w:rsidRPr="00F912EF">
        <w:t>Assessors must satisfy NVR/AQTF assessor requirements.</w:t>
      </w:r>
    </w:p>
    <w:p w:rsidR="00000000" w:rsidRPr="00F912EF" w:rsidP="00CB7CA3">
      <w:pPr>
        <w:pStyle w:val="BodyText"/>
      </w:pPr>
      <w:r w:rsidRPr="00F912EF">
        <w:t>Competency is to be assessed in the workplace or a simulated environment that accurately reflects performance in a real workplace setting.</w:t>
      </w:r>
    </w:p>
    <w:p w:rsidR="00000000" w:rsidRPr="00F912EF" w:rsidP="00CB7CA3">
      <w:pPr>
        <w:pStyle w:val="BodyText"/>
      </w:pPr>
      <w:r w:rsidRPr="00F912EF">
        <w:t>Assessment must include direct observation of tasks.</w:t>
      </w:r>
    </w:p>
    <w:p w:rsidR="00000000" w:rsidRPr="00F912EF" w:rsidP="00CB7CA3">
      <w:pPr>
        <w:pStyle w:val="BodyText"/>
      </w:pPr>
      <w:r w:rsidRPr="00F912EF">
        <w:t>Where assessment of competency includes third-party evidence, individuals must provide evidence that links them to the vessels that they have water tested, e.g. repair orders.</w:t>
      </w:r>
    </w:p>
    <w:p w:rsidR="00000000" w:rsidRPr="00F912EF" w:rsidP="00CB7CA3">
      <w:pPr>
        <w:pStyle w:val="BodyText"/>
      </w:pPr>
      <w:r w:rsidRPr="00F912EF">
        <w:t>Assessors must verify performance evidence through questioning on skills and kn</w:t>
      </w:r>
      <w:r w:rsidRPr="00F912EF">
        <w:t>owledge to ensure correct interpretation and application.</w:t>
      </w:r>
    </w:p>
    <w:p w:rsidR="00000000" w:rsidRPr="00F912EF" w:rsidP="00CB7CA3">
      <w:pPr>
        <w:pStyle w:val="BodyText"/>
      </w:pPr>
      <w:r w:rsidRPr="00F912EF">
        <w:t>The following resources must be made available:</w:t>
      </w:r>
    </w:p>
    <w:p w:rsidR="00000000" w:rsidRPr="00F912EF" w:rsidP="00F912EF">
      <w:pPr>
        <w:pStyle w:val="ListBullet"/>
      </w:pPr>
      <w:r w:rsidRPr="00F912EF">
        <w:t>appropriate waterway for water testing a vessel</w:t>
      </w:r>
    </w:p>
    <w:p w:rsidR="00000000" w:rsidRPr="00F912EF" w:rsidP="00F912EF">
      <w:pPr>
        <w:pStyle w:val="ListBullet"/>
      </w:pPr>
      <w:r w:rsidRPr="00F912EF">
        <w:t>workplace instructions</w:t>
      </w:r>
    </w:p>
    <w:p w:rsidR="00000000" w:rsidRPr="00F912EF" w:rsidP="00F912EF">
      <w:pPr>
        <w:pStyle w:val="ListBullet"/>
      </w:pPr>
      <w:r w:rsidRPr="00F912EF">
        <w:t>manufacturer vessel specifications</w:t>
      </w:r>
    </w:p>
    <w:p w:rsidR="00000000" w:rsidRPr="00F912EF" w:rsidP="00F912EF">
      <w:pPr>
        <w:pStyle w:val="ListBullet"/>
      </w:pPr>
      <w:r w:rsidRPr="00F912EF">
        <w:t>state and territory marine safety laws</w:t>
      </w:r>
    </w:p>
    <w:p w:rsidR="00000000" w:rsidRPr="00F912EF" w:rsidP="00F912EF">
      <w:pPr>
        <w:pStyle w:val="ListBullet"/>
      </w:pPr>
      <w:r w:rsidRPr="00F912EF">
        <w:t>two</w:t>
      </w:r>
      <w:r w:rsidRPr="00F912EF">
        <w:t xml:space="preserve"> different vessels requiring water testing</w:t>
      </w:r>
    </w:p>
    <w:p w:rsidR="00000000" w:rsidRPr="00F912EF" w:rsidP="00F912EF">
      <w:pPr>
        <w:pStyle w:val="ListBullet"/>
      </w:pPr>
      <w:r w:rsidRPr="00F912EF">
        <w:t>tools, testing equipment and materials appropriate for water testing vessels.</w:t>
      </w:r>
    </w:p>
    <w:p w:rsidR="00000000" w:rsidRPr="00F912EF" w:rsidP="00F912EF">
      <w:pPr>
        <w:pStyle w:val="AllowPageBreak"/>
      </w:pPr>
    </w:p>
    <w:p w:rsidR="00000000" w:rsidRPr="00F912EF" w:rsidP="00F912EF">
      <w:pPr>
        <w:pStyle w:val="Heading1"/>
      </w:pPr>
      <w:bookmarkStart w:id="5" w:name="O_795447"/>
      <w:bookmarkEnd w:id="5"/>
      <w:r w:rsidRPr="00F912EF">
        <w:t>Links</w:t>
      </w:r>
    </w:p>
    <w:p w:rsidR="00000000" w:rsidRPr="00F912EF" w:rsidP="00CB7CA3">
      <w:pPr>
        <w:pStyle w:val="BodyText"/>
      </w:pPr>
      <w:r w:rsidRPr="00F912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A63B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912EF" w:rsidP="00CB7CA3">
      <w:pPr>
        <w:pStyle w:val="BodyText"/>
      </w:pPr>
      <w:r w:rsidRPr="00F912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A63B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912EF" w:rsidP="00F912EF"/>
    <w:sectPr w:rsidSect="00F912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EF" w:rsidRPr="00CB7CA3" w:rsidP="00CB7C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CA3" w:rsidP="00F91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7CA3" w:rsidP="00F91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B7CA3" w:rsidP="00F912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C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2EF" w:rsidRPr="00CB7CA3" w:rsidP="00CB7C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CA3" w:rsidRPr="002D2AF8" w:rsidP="00F91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AURRTA006 Water test vessels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B7CA3" w:rsidP="00F912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DE34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D40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68EF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2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2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2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2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2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2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2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2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2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2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2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2EF"/>
  </w:style>
  <w:style w:type="character" w:customStyle="1" w:styleId="Heading1Char">
    <w:name w:val="Heading 1 Char"/>
    <w:basedOn w:val="DefaultParagraphFont"/>
    <w:link w:val="Heading1"/>
    <w:rsid w:val="00F912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2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2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12E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12EF"/>
    <w:rPr>
      <w:b/>
      <w:spacing w:val="0"/>
    </w:rPr>
  </w:style>
  <w:style w:type="paragraph" w:styleId="ListBullet2">
    <w:name w:val="List Bullet 2"/>
    <w:basedOn w:val="List2"/>
    <w:rsid w:val="00F912E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12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2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912E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912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2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2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2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2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2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2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2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2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2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2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2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2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2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2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12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12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2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2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12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2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2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2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2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2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2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2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2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2EF"/>
    <w:rPr>
      <w:i/>
    </w:rPr>
  </w:style>
  <w:style w:type="paragraph" w:styleId="Caption">
    <w:name w:val="caption"/>
    <w:basedOn w:val="BodyText"/>
    <w:next w:val="Normal"/>
    <w:qFormat/>
    <w:rsid w:val="00F912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2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2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2EF"/>
  </w:style>
  <w:style w:type="paragraph" w:styleId="TableofFigures">
    <w:name w:val="table of figures"/>
    <w:basedOn w:val="Normal"/>
    <w:next w:val="Normal"/>
    <w:semiHidden/>
    <w:rsid w:val="00F912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2E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12EF"/>
    <w:rPr>
      <w:rFonts w:ascii="Wingdings" w:hAnsi="Wingdings"/>
    </w:rPr>
  </w:style>
  <w:style w:type="paragraph" w:customStyle="1" w:styleId="TableHeading">
    <w:name w:val="Table Heading"/>
    <w:basedOn w:val="HeadingBase"/>
    <w:rsid w:val="00F912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2EF"/>
    <w:rPr>
      <w:color w:val="0033CC"/>
      <w:u w:val="none"/>
    </w:rPr>
  </w:style>
  <w:style w:type="paragraph" w:customStyle="1" w:styleId="BodyTextRight">
    <w:name w:val="Body Text Right"/>
    <w:basedOn w:val="BodyText"/>
    <w:rsid w:val="00F912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2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2E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2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2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2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2EF"/>
    <w:rPr>
      <w:sz w:val="32"/>
    </w:rPr>
  </w:style>
  <w:style w:type="paragraph" w:customStyle="1" w:styleId="HeadingProcedure">
    <w:name w:val="Heading Procedure"/>
    <w:basedOn w:val="HeadingBase"/>
    <w:next w:val="Normal"/>
    <w:rsid w:val="00F912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2EF"/>
    <w:pPr>
      <w:spacing w:before="60" w:after="60"/>
    </w:pPr>
  </w:style>
  <w:style w:type="paragraph" w:styleId="ListContinue">
    <w:name w:val="List Continue"/>
    <w:basedOn w:val="List"/>
    <w:rsid w:val="00F912EF"/>
    <w:pPr>
      <w:ind w:firstLine="0"/>
    </w:pPr>
  </w:style>
  <w:style w:type="paragraph" w:customStyle="1" w:styleId="ListNote">
    <w:name w:val="List Note"/>
    <w:basedOn w:val="List"/>
    <w:rsid w:val="00F912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2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2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2EF"/>
    <w:rPr>
      <w:rFonts w:ascii="Courier New" w:hAnsi="Courier New"/>
    </w:rPr>
  </w:style>
  <w:style w:type="paragraph" w:customStyle="1" w:styleId="NoteBullet">
    <w:name w:val="Note Bullet"/>
    <w:basedOn w:val="Note"/>
    <w:rsid w:val="00F912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2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2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2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2E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12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2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2EF"/>
    <w:rPr>
      <w:b/>
      <w:smallCaps/>
    </w:rPr>
  </w:style>
  <w:style w:type="paragraph" w:customStyle="1" w:styleId="TableListNumber">
    <w:name w:val="Table List Number"/>
    <w:basedOn w:val="ListNumber"/>
    <w:rsid w:val="00F912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2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2EF"/>
    <w:pPr>
      <w:numPr>
        <w:numId w:val="10"/>
      </w:numPr>
    </w:pPr>
  </w:style>
  <w:style w:type="paragraph" w:customStyle="1" w:styleId="ListAlpha2">
    <w:name w:val="List Alpha 2"/>
    <w:basedOn w:val="List2"/>
    <w:rsid w:val="00F912EF"/>
    <w:pPr>
      <w:numPr>
        <w:numId w:val="9"/>
      </w:numPr>
    </w:pPr>
  </w:style>
  <w:style w:type="paragraph" w:styleId="List2">
    <w:name w:val="List 2"/>
    <w:basedOn w:val="BodyText"/>
    <w:rsid w:val="00F912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2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2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2E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12E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12EF"/>
    <w:pPr>
      <w:numPr>
        <w:numId w:val="5"/>
      </w:numPr>
    </w:pPr>
  </w:style>
  <w:style w:type="paragraph" w:styleId="ListContinue2">
    <w:name w:val="List Continue 2"/>
    <w:basedOn w:val="List2"/>
    <w:rsid w:val="00F912EF"/>
    <w:pPr>
      <w:ind w:firstLine="0"/>
    </w:pPr>
  </w:style>
  <w:style w:type="paragraph" w:styleId="ListContinue3">
    <w:name w:val="List Continue 3"/>
    <w:basedOn w:val="List3"/>
    <w:rsid w:val="00F912EF"/>
    <w:pPr>
      <w:ind w:left="1021" w:firstLine="0"/>
    </w:pPr>
  </w:style>
  <w:style w:type="paragraph" w:styleId="ListContinue4">
    <w:name w:val="List Continue 4"/>
    <w:basedOn w:val="List4"/>
    <w:rsid w:val="00F912EF"/>
    <w:pPr>
      <w:ind w:firstLine="0"/>
    </w:pPr>
  </w:style>
  <w:style w:type="paragraph" w:styleId="ListContinue5">
    <w:name w:val="List Continue 5"/>
    <w:basedOn w:val="List5"/>
    <w:rsid w:val="00F912EF"/>
    <w:pPr>
      <w:ind w:firstLine="0"/>
    </w:pPr>
  </w:style>
  <w:style w:type="paragraph" w:styleId="ListNumber3">
    <w:name w:val="List Number 3"/>
    <w:basedOn w:val="List3"/>
    <w:rsid w:val="00F912EF"/>
    <w:pPr>
      <w:numPr>
        <w:numId w:val="6"/>
      </w:numPr>
    </w:pPr>
  </w:style>
  <w:style w:type="paragraph" w:styleId="ListNumber4">
    <w:name w:val="List Number 4"/>
    <w:basedOn w:val="List4"/>
    <w:rsid w:val="00F912EF"/>
    <w:pPr>
      <w:numPr>
        <w:numId w:val="7"/>
      </w:numPr>
    </w:pPr>
  </w:style>
  <w:style w:type="paragraph" w:styleId="ListNumber5">
    <w:name w:val="List Number 5"/>
    <w:basedOn w:val="List5"/>
    <w:rsid w:val="00F912EF"/>
    <w:pPr>
      <w:numPr>
        <w:numId w:val="8"/>
      </w:numPr>
    </w:pPr>
  </w:style>
  <w:style w:type="paragraph" w:styleId="BlockText">
    <w:name w:val="Block Text"/>
    <w:basedOn w:val="Normal"/>
    <w:rsid w:val="00F912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2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2EF"/>
    <w:rPr>
      <w:sz w:val="16"/>
      <w:vertAlign w:val="superscript"/>
    </w:rPr>
  </w:style>
  <w:style w:type="character" w:customStyle="1" w:styleId="Symbols">
    <w:name w:val="Symbols"/>
    <w:basedOn w:val="DefaultParagraphFont"/>
    <w:rsid w:val="00F912EF"/>
    <w:rPr>
      <w:rFonts w:ascii="Symbol" w:hAnsi="Symbol"/>
    </w:rPr>
  </w:style>
  <w:style w:type="character" w:customStyle="1" w:styleId="MenuOptions">
    <w:name w:val="Menu Options"/>
    <w:basedOn w:val="DefaultParagraphFont"/>
    <w:rsid w:val="00F912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2EF"/>
    <w:rPr>
      <w:b/>
    </w:rPr>
  </w:style>
  <w:style w:type="character" w:customStyle="1" w:styleId="Underlined">
    <w:name w:val="Underlined"/>
    <w:basedOn w:val="DefaultParagraphFont"/>
    <w:rsid w:val="00F912EF"/>
    <w:rPr>
      <w:u w:val="single"/>
    </w:rPr>
  </w:style>
  <w:style w:type="paragraph" w:customStyle="1" w:styleId="TableBodyTextRight">
    <w:name w:val="Table Body Text Right"/>
    <w:basedOn w:val="TableBodyText"/>
    <w:rsid w:val="00F912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2EF"/>
    <w:rPr>
      <w:sz w:val="18"/>
    </w:rPr>
  </w:style>
  <w:style w:type="paragraph" w:customStyle="1" w:styleId="BodySmallRight">
    <w:name w:val="Body Small Right"/>
    <w:basedOn w:val="BodyTextRight"/>
    <w:rsid w:val="00F912EF"/>
    <w:rPr>
      <w:sz w:val="18"/>
      <w:szCs w:val="18"/>
    </w:rPr>
  </w:style>
  <w:style w:type="paragraph" w:customStyle="1" w:styleId="MarginEdition">
    <w:name w:val="Margin Edition"/>
    <w:basedOn w:val="MarginNote"/>
    <w:rsid w:val="00F912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2EF"/>
    <w:rPr>
      <w:sz w:val="2"/>
      <w:szCs w:val="2"/>
    </w:rPr>
  </w:style>
  <w:style w:type="character" w:customStyle="1" w:styleId="Small">
    <w:name w:val="Small"/>
    <w:basedOn w:val="DefaultParagraphFont"/>
    <w:rsid w:val="00F912EF"/>
    <w:rPr>
      <w:sz w:val="16"/>
    </w:rPr>
  </w:style>
  <w:style w:type="paragraph" w:customStyle="1" w:styleId="WideTable">
    <w:name w:val="Wide Table"/>
    <w:basedOn w:val="Normal"/>
    <w:rsid w:val="00F912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2EF"/>
  </w:style>
  <w:style w:type="paragraph" w:styleId="Quote">
    <w:name w:val="Quote"/>
    <w:basedOn w:val="Heading1"/>
    <w:link w:val="QuoteChar"/>
    <w:qFormat/>
    <w:rsid w:val="00F912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2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2EF"/>
    <w:pPr>
      <w:pageBreakBefore/>
    </w:pPr>
  </w:style>
  <w:style w:type="paragraph" w:customStyle="1" w:styleId="Border">
    <w:name w:val="Border"/>
    <w:basedOn w:val="Normal"/>
    <w:qFormat/>
    <w:rsid w:val="00F912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2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2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2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2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2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2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2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2EF"/>
    <w:rPr>
      <w:u w:val="single"/>
    </w:rPr>
  </w:style>
  <w:style w:type="character" w:customStyle="1" w:styleId="BoldandItalics">
    <w:name w:val="Bold and Italics"/>
    <w:qFormat/>
    <w:rsid w:val="00F912EF"/>
    <w:rPr>
      <w:b/>
      <w:i/>
      <w:u w:val="none"/>
    </w:rPr>
  </w:style>
  <w:style w:type="paragraph" w:styleId="BalloonText">
    <w:name w:val="Balloon Text"/>
    <w:basedOn w:val="Normal"/>
    <w:link w:val="BalloonTextChar"/>
    <w:rsid w:val="00F91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2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2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2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2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2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2EF"/>
    <w:pPr>
      <w:spacing w:before="0" w:after="0"/>
    </w:pPr>
  </w:style>
  <w:style w:type="paragraph" w:customStyle="1" w:styleId="BodyTextBold">
    <w:name w:val="Body Text Bold"/>
    <w:basedOn w:val="BodyText"/>
    <w:qFormat/>
    <w:rsid w:val="00F912EF"/>
    <w:rPr>
      <w:b/>
    </w:rPr>
  </w:style>
  <w:style w:type="character" w:styleId="Hyperlink">
    <w:name w:val="Hyperlink"/>
    <w:basedOn w:val="DefaultParagraphFont"/>
    <w:uiPriority w:val="99"/>
    <w:unhideWhenUsed/>
    <w:rsid w:val="00CB7C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3439</Characters>
  <Application>Microsoft Office Word</Application>
  <DocSecurity>0</DocSecurity>
  <Lines>114</Lines>
  <Paragraphs>96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AURRTA006 Water test vessels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2023-12-19T07:01:00Z</dcterms:created>
  <dcterms:modified xsi:type="dcterms:W3CDTF">2023-12-19T07:01:00Z</dcterms:modified>
</cp:coreProperties>
</file>