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859" w:rsidP="00F57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AURRGA003 Moor motor-driven vessels</w:t>
      </w:r>
      <w:r>
        <w:fldChar w:fldCharType="end"/>
      </w:r>
    </w:p>
    <w:p w:rsidR="00F57859" w:rsidP="00F57859">
      <w:pPr>
        <w:pStyle w:val="Version"/>
        <w:sectPr w:rsidSect="00BD4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FC5" w:rsidP="00BD4FC5">
      <w:pPr>
        <w:pStyle w:val="SuperHeading"/>
      </w:pPr>
      <w:r w:rsidRPr="00BD4FC5">
        <w:t>Assessment Requirements for AURRGA003 Moor motor-driven vessels</w:t>
      </w:r>
    </w:p>
    <w:p w:rsidR="00000000" w:rsidRPr="00BD4FC5" w:rsidP="00BD4FC5">
      <w:pPr>
        <w:pStyle w:val="Heading1"/>
      </w:pPr>
      <w:bookmarkStart w:id="1" w:name="O_795403"/>
      <w:bookmarkEnd w:id="1"/>
      <w:r w:rsidRPr="00BD4FC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578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C5" w:rsidP="00BD4FC5">
            <w:pPr>
              <w:pStyle w:val="BodyText"/>
            </w:pPr>
            <w:r w:rsidRPr="00BD4FC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C5">
            <w:pPr>
              <w:pStyle w:val="BodyText"/>
              <w:rPr>
                <w:lang w:val="en-NZ"/>
              </w:rPr>
            </w:pPr>
            <w:r w:rsidRPr="00BD4FC5">
              <w:rPr>
                <w:rStyle w:val="SpecialBold"/>
              </w:rPr>
              <w:t>Comment</w:t>
            </w:r>
          </w:p>
        </w:tc>
      </w:tr>
      <w:tr w:rsidTr="00F578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C5">
            <w:pPr>
              <w:pStyle w:val="BodyText"/>
              <w:rPr>
                <w:lang w:val="en-NZ"/>
              </w:rPr>
            </w:pPr>
            <w:r w:rsidRPr="00BD4FC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C5" w:rsidP="00BD4FC5">
            <w:pPr>
              <w:pStyle w:val="BodyText"/>
            </w:pPr>
            <w:r w:rsidRPr="00BD4FC5">
              <w:t>New unit of competency.</w:t>
            </w:r>
          </w:p>
        </w:tc>
      </w:tr>
    </w:tbl>
    <w:p w:rsidR="00000000" w:rsidRPr="00BD4FC5" w:rsidP="00BD4FC5">
      <w:pPr>
        <w:pStyle w:val="BodyText"/>
      </w:pPr>
    </w:p>
    <w:p w:rsidR="00000000" w:rsidRPr="00BD4FC5" w:rsidP="00BD4FC5">
      <w:pPr>
        <w:pStyle w:val="AllowPageBreak"/>
      </w:pPr>
    </w:p>
    <w:p w:rsidR="00000000" w:rsidRPr="00BD4FC5" w:rsidP="00BD4FC5">
      <w:pPr>
        <w:pStyle w:val="Heading1"/>
      </w:pPr>
      <w:bookmarkStart w:id="2" w:name="O_795404"/>
      <w:bookmarkEnd w:id="2"/>
      <w:r w:rsidRPr="00BD4FC5">
        <w:t>Performance Evidence</w:t>
      </w:r>
    </w:p>
    <w:p w:rsidR="00000000" w:rsidRPr="00BD4FC5" w:rsidP="00F57859">
      <w:pPr>
        <w:pStyle w:val="BodyText"/>
      </w:pPr>
      <w:r w:rsidRPr="00BD4FC5">
        <w:t>Before competency</w:t>
      </w:r>
      <w:r w:rsidRPr="00BD4FC5">
        <w:t xml:space="preserve"> can be determined, individuals must demonstrate they can perform the following according to the standards defined in this unit’s elements, performance criteria, range of conditions and foundation skills:</w:t>
      </w:r>
    </w:p>
    <w:p w:rsidR="00000000" w:rsidRPr="00BD4FC5" w:rsidP="00BD4FC5">
      <w:pPr>
        <w:pStyle w:val="ListBullet"/>
      </w:pPr>
      <w:r w:rsidRPr="00BD4FC5">
        <w:t>moor two different motor-driven vessels of up to 1</w:t>
      </w:r>
      <w:r w:rsidRPr="00BD4FC5">
        <w:t>9 metres in length, in which the work must involve mooring vessel to, off and away from:</w:t>
      </w:r>
    </w:p>
    <w:p w:rsidR="00000000" w:rsidRPr="00BD4FC5" w:rsidP="00BD4FC5">
      <w:pPr>
        <w:pStyle w:val="ListBullet2"/>
      </w:pPr>
      <w:r w:rsidRPr="00BD4FC5">
        <w:t>a swing mooring</w:t>
      </w:r>
    </w:p>
    <w:p w:rsidR="00000000" w:rsidRPr="00BD4FC5" w:rsidP="00BD4FC5">
      <w:pPr>
        <w:pStyle w:val="ListBullet2"/>
      </w:pPr>
      <w:r w:rsidRPr="00BD4FC5">
        <w:t>a dockside.</w:t>
      </w:r>
    </w:p>
    <w:p w:rsidR="00000000" w:rsidRPr="00BD4FC5" w:rsidP="00BD4FC5">
      <w:pPr>
        <w:pStyle w:val="AllowPageBreak"/>
      </w:pPr>
    </w:p>
    <w:p w:rsidR="00000000" w:rsidRPr="00BD4FC5" w:rsidP="00BD4FC5">
      <w:pPr>
        <w:pStyle w:val="Heading1"/>
      </w:pPr>
      <w:bookmarkStart w:id="3" w:name="O_795405"/>
      <w:bookmarkEnd w:id="3"/>
      <w:r w:rsidRPr="00BD4FC5">
        <w:t>Knowledge Evidence</w:t>
      </w:r>
    </w:p>
    <w:p w:rsidR="00000000" w:rsidRPr="00BD4FC5" w:rsidP="00F57859">
      <w:pPr>
        <w:pStyle w:val="BodyText"/>
      </w:pPr>
      <w:r w:rsidRPr="00BD4FC5">
        <w:t>Individuals must be able to demonstrate knowledge of:</w:t>
      </w:r>
    </w:p>
    <w:p w:rsidR="00000000" w:rsidRPr="00BD4FC5" w:rsidP="00BD4FC5">
      <w:pPr>
        <w:pStyle w:val="ListBullet"/>
      </w:pPr>
      <w:r w:rsidRPr="00BD4FC5">
        <w:t>work health and safety (WHS) and occupational health and safety (OHS) requirements relating to mooring motor-driven vessels, including procedures for:</w:t>
      </w:r>
    </w:p>
    <w:p w:rsidR="00000000" w:rsidRPr="00BD4FC5" w:rsidP="00BD4FC5">
      <w:pPr>
        <w:pStyle w:val="ListBullet2"/>
      </w:pPr>
      <w:r w:rsidRPr="00BD4FC5">
        <w:t>selecting and using personal protective equipment (PPE), including personal flotation devices</w:t>
      </w:r>
    </w:p>
    <w:p w:rsidR="00000000" w:rsidRPr="00BD4FC5" w:rsidP="00BD4FC5">
      <w:pPr>
        <w:pStyle w:val="ListBullet2"/>
      </w:pPr>
      <w:r w:rsidRPr="00BD4FC5">
        <w:t xml:space="preserve">following </w:t>
      </w:r>
      <w:r w:rsidRPr="00BD4FC5">
        <w:t>state or territory legislation, regulations and marine safety laws relating to operating a vessel in an estuary or seaway, including:</w:t>
      </w:r>
    </w:p>
    <w:p w:rsidR="00000000" w:rsidRPr="00BD4FC5" w:rsidP="00BD4FC5">
      <w:pPr>
        <w:pStyle w:val="ListBullet3"/>
      </w:pPr>
      <w:r w:rsidRPr="00BD4FC5">
        <w:t>holding a boat driver licence</w:t>
      </w:r>
    </w:p>
    <w:p w:rsidR="00000000" w:rsidRPr="00BD4FC5" w:rsidP="00BD4FC5">
      <w:pPr>
        <w:pStyle w:val="ListBullet3"/>
      </w:pPr>
      <w:r w:rsidRPr="00BD4FC5">
        <w:t>speed restrictions</w:t>
      </w:r>
    </w:p>
    <w:p w:rsidR="00000000" w:rsidRPr="00BD4FC5" w:rsidP="00BD4FC5">
      <w:pPr>
        <w:pStyle w:val="ListBullet3"/>
      </w:pPr>
      <w:r w:rsidRPr="00BD4FC5">
        <w:t>navigation rules</w:t>
      </w:r>
    </w:p>
    <w:p w:rsidR="00000000" w:rsidRPr="00BD4FC5" w:rsidP="00BD4FC5">
      <w:pPr>
        <w:pStyle w:val="ListBullet3"/>
      </w:pPr>
      <w:r w:rsidRPr="00BD4FC5">
        <w:t>boat capacity</w:t>
      </w:r>
    </w:p>
    <w:p w:rsidR="00000000" w:rsidRPr="00BD4FC5" w:rsidP="00BD4FC5">
      <w:pPr>
        <w:pStyle w:val="ListBullet"/>
      </w:pPr>
      <w:r w:rsidRPr="00BD4FC5">
        <w:t>safety inspection procedures, including inspection procedures for:</w:t>
      </w:r>
    </w:p>
    <w:p w:rsidR="00000000" w:rsidRPr="00BD4FC5" w:rsidP="00BD4FC5">
      <w:pPr>
        <w:pStyle w:val="ListBullet2"/>
      </w:pPr>
      <w:r w:rsidRPr="00BD4FC5">
        <w:t>vessel safety equipment, including:</w:t>
      </w:r>
    </w:p>
    <w:p w:rsidR="00000000" w:rsidRPr="00BD4FC5" w:rsidP="00BD4FC5">
      <w:pPr>
        <w:pStyle w:val="ListBullet3"/>
      </w:pPr>
      <w:r w:rsidRPr="00BD4FC5">
        <w:t>life jackets</w:t>
      </w:r>
    </w:p>
    <w:p w:rsidR="00000000" w:rsidRPr="00BD4FC5" w:rsidP="00BD4FC5">
      <w:pPr>
        <w:pStyle w:val="ListBullet3"/>
      </w:pPr>
      <w:r w:rsidRPr="00BD4FC5">
        <w:t>anchors</w:t>
      </w:r>
    </w:p>
    <w:p w:rsidR="00000000" w:rsidRPr="00BD4FC5" w:rsidP="00BD4FC5">
      <w:pPr>
        <w:pStyle w:val="ListBullet3"/>
      </w:pPr>
      <w:r w:rsidRPr="00BD4FC5">
        <w:t>bailer or fire bucket and lanyard</w:t>
      </w:r>
    </w:p>
    <w:p w:rsidR="00000000" w:rsidRPr="00BD4FC5" w:rsidP="00BD4FC5">
      <w:pPr>
        <w:pStyle w:val="ListBullet3"/>
      </w:pPr>
      <w:r w:rsidRPr="00BD4FC5">
        <w:t>bilge pump</w:t>
      </w:r>
    </w:p>
    <w:p w:rsidR="00000000" w:rsidRPr="00BD4FC5" w:rsidP="00BD4FC5">
      <w:pPr>
        <w:pStyle w:val="ListBullet3"/>
      </w:pPr>
      <w:r w:rsidRPr="00BD4FC5">
        <w:t>compass</w:t>
      </w:r>
    </w:p>
    <w:p w:rsidR="00000000" w:rsidRPr="00BD4FC5" w:rsidP="00BD4FC5">
      <w:pPr>
        <w:pStyle w:val="ListBullet3"/>
      </w:pPr>
      <w:r w:rsidRPr="00BD4FC5">
        <w:t>distress flares</w:t>
      </w:r>
    </w:p>
    <w:p w:rsidR="00000000" w:rsidRPr="00BD4FC5" w:rsidP="00BD4FC5">
      <w:pPr>
        <w:pStyle w:val="ListBullet3"/>
      </w:pPr>
      <w:r w:rsidRPr="00BD4FC5">
        <w:t>emergency position indicating radio beacon (EPIRB)</w:t>
      </w:r>
    </w:p>
    <w:p w:rsidR="00000000" w:rsidRPr="00BD4FC5" w:rsidP="00BD4FC5">
      <w:pPr>
        <w:pStyle w:val="ListBullet3"/>
      </w:pPr>
      <w:r w:rsidRPr="00BD4FC5">
        <w:t>fire extinguisher</w:t>
      </w:r>
    </w:p>
    <w:p w:rsidR="00000000" w:rsidRPr="00BD4FC5" w:rsidP="00BD4FC5">
      <w:pPr>
        <w:pStyle w:val="ListBullet3"/>
      </w:pPr>
      <w:r w:rsidRPr="00BD4FC5">
        <w:t>map</w:t>
      </w:r>
    </w:p>
    <w:p w:rsidR="00000000" w:rsidRPr="00BD4FC5" w:rsidP="00BD4FC5">
      <w:pPr>
        <w:pStyle w:val="ListBullet3"/>
      </w:pPr>
      <w:r w:rsidRPr="00BD4FC5">
        <w:t>marine radio</w:t>
      </w:r>
    </w:p>
    <w:p w:rsidR="00000000" w:rsidRPr="00BD4FC5" w:rsidP="00BD4FC5">
      <w:pPr>
        <w:pStyle w:val="ListBullet3"/>
      </w:pPr>
      <w:r w:rsidRPr="00BD4FC5">
        <w:t>paddles and oars</w:t>
      </w:r>
    </w:p>
    <w:p w:rsidR="00000000" w:rsidRPr="00BD4FC5" w:rsidP="00BD4FC5">
      <w:pPr>
        <w:pStyle w:val="ListBullet3"/>
      </w:pPr>
      <w:r w:rsidRPr="00BD4FC5">
        <w:t>safety and capacity labels</w:t>
      </w:r>
    </w:p>
    <w:p w:rsidR="00000000" w:rsidRPr="00BD4FC5" w:rsidP="00BD4FC5">
      <w:pPr>
        <w:pStyle w:val="ListBullet3"/>
      </w:pPr>
      <w:r w:rsidRPr="00BD4FC5">
        <w:t>sound signals</w:t>
      </w:r>
    </w:p>
    <w:p w:rsidR="00000000" w:rsidRPr="00BD4FC5" w:rsidP="00BD4FC5">
      <w:pPr>
        <w:pStyle w:val="ListBullet3"/>
      </w:pPr>
      <w:r w:rsidRPr="00BD4FC5">
        <w:t>drinking water</w:t>
      </w:r>
    </w:p>
    <w:p w:rsidR="00000000" w:rsidRPr="00BD4FC5" w:rsidP="00BD4FC5">
      <w:pPr>
        <w:pStyle w:val="ListBullet3"/>
      </w:pPr>
      <w:r w:rsidRPr="00BD4FC5">
        <w:t>waterproof torch</w:t>
      </w:r>
    </w:p>
    <w:p w:rsidR="00000000" w:rsidRPr="00BD4FC5" w:rsidP="00BD4FC5">
      <w:pPr>
        <w:pStyle w:val="ListBullet2"/>
      </w:pPr>
      <w:r w:rsidRPr="00BD4FC5">
        <w:t>hulls and fittings, including mooring fittings</w:t>
      </w:r>
    </w:p>
    <w:p w:rsidR="00000000" w:rsidRPr="00BD4FC5" w:rsidP="00BD4FC5">
      <w:pPr>
        <w:pStyle w:val="ListBullet"/>
      </w:pPr>
      <w:r w:rsidRPr="00BD4FC5">
        <w:t>inspection procedures for mooring sites, including:</w:t>
      </w:r>
    </w:p>
    <w:p w:rsidR="00000000" w:rsidRPr="00BD4FC5" w:rsidP="00BD4FC5">
      <w:pPr>
        <w:pStyle w:val="ListBullet2"/>
      </w:pPr>
      <w:r w:rsidRPr="00BD4FC5">
        <w:t>rope and chain condition</w:t>
      </w:r>
    </w:p>
    <w:p w:rsidR="00000000" w:rsidRPr="00BD4FC5" w:rsidP="00BD4FC5">
      <w:pPr>
        <w:pStyle w:val="ListBullet2"/>
      </w:pPr>
      <w:r w:rsidRPr="00BD4FC5">
        <w:t>shackle condition</w:t>
      </w:r>
    </w:p>
    <w:p w:rsidR="00000000" w:rsidRPr="00BD4FC5" w:rsidP="00BD4FC5">
      <w:pPr>
        <w:pStyle w:val="ListBullet2"/>
      </w:pPr>
      <w:r w:rsidRPr="00BD4FC5">
        <w:t>buoy condition</w:t>
      </w:r>
    </w:p>
    <w:p w:rsidR="00000000" w:rsidRPr="00BD4FC5" w:rsidP="00BD4FC5">
      <w:pPr>
        <w:pStyle w:val="ListBullet2"/>
      </w:pPr>
      <w:r w:rsidRPr="00BD4FC5">
        <w:t>wharf or pier condition</w:t>
      </w:r>
    </w:p>
    <w:p w:rsidR="00000000" w:rsidRPr="00BD4FC5" w:rsidP="00BD4FC5">
      <w:pPr>
        <w:pStyle w:val="ListBullet"/>
      </w:pPr>
      <w:r w:rsidRPr="00BD4FC5">
        <w:t>knot types for a variety of situations, including dock, fixed pier, jetty, wharf, concrete pontoon and plastic pontoon</w:t>
      </w:r>
    </w:p>
    <w:p w:rsidR="00000000" w:rsidRPr="00BD4FC5" w:rsidP="00BD4FC5">
      <w:pPr>
        <w:pStyle w:val="ListBullet"/>
      </w:pPr>
      <w:r w:rsidRPr="00BD4FC5">
        <w:t>types and application of swing moorings, including single point moorings and tw</w:t>
      </w:r>
      <w:r w:rsidRPr="00BD4FC5">
        <w:t>in moorings</w:t>
      </w:r>
    </w:p>
    <w:p w:rsidR="00000000" w:rsidRPr="00BD4FC5" w:rsidP="00BD4FC5">
      <w:pPr>
        <w:pStyle w:val="ListBullet"/>
      </w:pPr>
      <w:r w:rsidRPr="00BD4FC5">
        <w:t>procedures for mooring a vessel, including manoeuvring techniques to position vessel according to tides and currents.</w:t>
      </w:r>
    </w:p>
    <w:p w:rsidR="00000000" w:rsidRPr="00BD4FC5" w:rsidP="00BD4FC5">
      <w:pPr>
        <w:pStyle w:val="AllowPageBreak"/>
      </w:pPr>
    </w:p>
    <w:p w:rsidR="00000000" w:rsidRPr="00BD4FC5" w:rsidP="00BD4FC5">
      <w:pPr>
        <w:pStyle w:val="Heading1"/>
      </w:pPr>
      <w:bookmarkStart w:id="4" w:name="O_795406"/>
      <w:bookmarkEnd w:id="4"/>
      <w:r w:rsidRPr="00BD4FC5">
        <w:t>Assessment Conditions</w:t>
      </w:r>
    </w:p>
    <w:p w:rsidR="00000000" w:rsidRPr="00BD4FC5" w:rsidP="00F57859">
      <w:pPr>
        <w:pStyle w:val="BodyText"/>
      </w:pPr>
      <w:r w:rsidRPr="00BD4FC5">
        <w:t>Assessors must satisfy NVR/AQTF assessor requirements.</w:t>
      </w:r>
    </w:p>
    <w:p w:rsidR="00000000" w:rsidRPr="00BD4FC5" w:rsidP="00F57859">
      <w:pPr>
        <w:pStyle w:val="BodyText"/>
      </w:pPr>
      <w:r w:rsidRPr="00BD4FC5">
        <w:t>Competency is to be assessed in</w:t>
      </w:r>
      <w:r w:rsidRPr="00BD4FC5">
        <w:t xml:space="preserve"> the workplace or a simulated environment that accurately reflects performance in a real workplace setting.</w:t>
      </w:r>
    </w:p>
    <w:p w:rsidR="00000000" w:rsidRPr="00BD4FC5" w:rsidP="00F57859">
      <w:pPr>
        <w:pStyle w:val="BodyText"/>
      </w:pPr>
      <w:r w:rsidRPr="00BD4FC5">
        <w:t>Assessment must include direct observation of tasks.</w:t>
      </w:r>
    </w:p>
    <w:p w:rsidR="00000000" w:rsidRPr="00BD4FC5" w:rsidP="00F57859">
      <w:pPr>
        <w:pStyle w:val="BodyText"/>
      </w:pPr>
      <w:r w:rsidRPr="00BD4FC5">
        <w:t>Where assessment of competency includes t</w:t>
      </w:r>
      <w:r w:rsidRPr="00BD4FC5">
        <w:t>hird-party evidence, individuals must provide evidence that links them to the motor-driven vessels that they have moored, e.g. photographs of moored vessels.</w:t>
      </w:r>
    </w:p>
    <w:p w:rsidR="00000000" w:rsidRPr="00BD4FC5" w:rsidP="00F57859">
      <w:pPr>
        <w:pStyle w:val="BodyText"/>
      </w:pPr>
      <w:r w:rsidRPr="00BD4FC5">
        <w:t xml:space="preserve">Assessors must verify performance evidence through questioning on skills and knowledge to ensure </w:t>
      </w:r>
      <w:r w:rsidRPr="00BD4FC5">
        <w:t>correct interpretation and application.</w:t>
      </w:r>
    </w:p>
    <w:p w:rsidR="00000000" w:rsidRPr="00BD4FC5" w:rsidP="00F57859">
      <w:pPr>
        <w:pStyle w:val="BodyText"/>
      </w:pPr>
      <w:r w:rsidRPr="00BD4FC5">
        <w:t>The following resources must be made available:</w:t>
      </w:r>
    </w:p>
    <w:p w:rsidR="00000000" w:rsidRPr="00BD4FC5" w:rsidP="00BD4FC5">
      <w:pPr>
        <w:pStyle w:val="ListBullet"/>
      </w:pPr>
      <w:r w:rsidRPr="00BD4FC5">
        <w:t>moorings for vessels, including a swing mooring and a dockside mooring</w:t>
      </w:r>
    </w:p>
    <w:p w:rsidR="00000000" w:rsidRPr="00BD4FC5" w:rsidP="00BD4FC5">
      <w:pPr>
        <w:pStyle w:val="ListBullet"/>
      </w:pPr>
      <w:r w:rsidRPr="00BD4FC5">
        <w:t>two different motor-driven vessels up to 19 metres in length requiring mooring</w:t>
      </w:r>
    </w:p>
    <w:p w:rsidR="00000000" w:rsidRPr="00BD4FC5" w:rsidP="00BD4FC5">
      <w:pPr>
        <w:pStyle w:val="ListBullet"/>
      </w:pPr>
      <w:r w:rsidRPr="00BD4FC5">
        <w:t>state and territ</w:t>
      </w:r>
      <w:r w:rsidRPr="00BD4FC5">
        <w:t>ory marine safety laws</w:t>
      </w:r>
    </w:p>
    <w:p w:rsidR="00000000" w:rsidRPr="00BD4FC5" w:rsidP="00BD4FC5">
      <w:pPr>
        <w:pStyle w:val="ListBullet"/>
      </w:pPr>
      <w:r w:rsidRPr="00BD4FC5">
        <w:t>tools, equipment and materials appropriate for inspecting and mooring motor-driven vessels.</w:t>
      </w:r>
    </w:p>
    <w:p w:rsidR="00000000" w:rsidRPr="00BD4FC5" w:rsidP="00BD4FC5">
      <w:pPr>
        <w:pStyle w:val="AllowPageBreak"/>
      </w:pPr>
    </w:p>
    <w:p w:rsidR="00000000" w:rsidRPr="00BD4FC5" w:rsidP="00BD4FC5">
      <w:pPr>
        <w:pStyle w:val="Heading1"/>
      </w:pPr>
      <w:bookmarkStart w:id="5" w:name="O_795409"/>
      <w:bookmarkEnd w:id="5"/>
      <w:r w:rsidRPr="00BD4FC5">
        <w:t>Links</w:t>
      </w:r>
    </w:p>
    <w:p w:rsidR="00000000" w:rsidRPr="00BD4FC5" w:rsidP="00F57859">
      <w:pPr>
        <w:pStyle w:val="BodyText"/>
      </w:pPr>
      <w:r w:rsidRPr="00BD4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445B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4FC5" w:rsidP="00F57859">
      <w:pPr>
        <w:pStyle w:val="BodyText"/>
      </w:pPr>
      <w:r w:rsidRPr="00BD4F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445B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4FC5" w:rsidP="00BD4FC5"/>
    <w:sectPr w:rsidSect="00BD4F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C5" w:rsidRPr="00F57859" w:rsidP="00F57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59" w:rsidP="00BD4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859" w:rsidP="00BD4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7859" w:rsidP="00BD4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FC5" w:rsidRPr="00F57859" w:rsidP="00F57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59" w:rsidRPr="002D2AF8" w:rsidP="00BD4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AURRGA003 Moor motor-driven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F57859" w:rsidP="00BD4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69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DCE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EB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FC5"/>
  </w:style>
  <w:style w:type="character" w:customStyle="1" w:styleId="Heading1Char">
    <w:name w:val="Heading 1 Char"/>
    <w:basedOn w:val="DefaultParagraphFont"/>
    <w:link w:val="Heading1"/>
    <w:rsid w:val="00BD4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F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FC5"/>
    <w:rPr>
      <w:b/>
      <w:spacing w:val="0"/>
    </w:rPr>
  </w:style>
  <w:style w:type="paragraph" w:styleId="ListBullet2">
    <w:name w:val="List Bullet 2"/>
    <w:basedOn w:val="List2"/>
    <w:rsid w:val="00BD4F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4F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4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F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FC5"/>
    <w:rPr>
      <w:i/>
    </w:rPr>
  </w:style>
  <w:style w:type="paragraph" w:styleId="Caption">
    <w:name w:val="caption"/>
    <w:basedOn w:val="BodyText"/>
    <w:next w:val="Normal"/>
    <w:qFormat/>
    <w:rsid w:val="00BD4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FC5"/>
  </w:style>
  <w:style w:type="paragraph" w:styleId="TableofFigures">
    <w:name w:val="table of figures"/>
    <w:basedOn w:val="Normal"/>
    <w:next w:val="Normal"/>
    <w:semiHidden/>
    <w:rsid w:val="00BD4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F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4FC5"/>
    <w:rPr>
      <w:rFonts w:ascii="Wingdings" w:hAnsi="Wingdings"/>
    </w:rPr>
  </w:style>
  <w:style w:type="paragraph" w:customStyle="1" w:styleId="TableHeading">
    <w:name w:val="Table Heading"/>
    <w:basedOn w:val="HeadingBase"/>
    <w:rsid w:val="00BD4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FC5"/>
    <w:rPr>
      <w:color w:val="0033CC"/>
      <w:u w:val="none"/>
    </w:rPr>
  </w:style>
  <w:style w:type="paragraph" w:customStyle="1" w:styleId="BodyTextRight">
    <w:name w:val="Body Text Right"/>
    <w:basedOn w:val="BodyText"/>
    <w:rsid w:val="00BD4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F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FC5"/>
    <w:rPr>
      <w:sz w:val="32"/>
    </w:rPr>
  </w:style>
  <w:style w:type="paragraph" w:customStyle="1" w:styleId="HeadingProcedure">
    <w:name w:val="Heading Procedure"/>
    <w:basedOn w:val="HeadingBase"/>
    <w:next w:val="Normal"/>
    <w:rsid w:val="00BD4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FC5"/>
    <w:pPr>
      <w:spacing w:before="60" w:after="60"/>
    </w:pPr>
  </w:style>
  <w:style w:type="paragraph" w:styleId="ListContinue">
    <w:name w:val="List Continue"/>
    <w:basedOn w:val="List"/>
    <w:rsid w:val="00BD4FC5"/>
    <w:pPr>
      <w:ind w:firstLine="0"/>
    </w:pPr>
  </w:style>
  <w:style w:type="paragraph" w:customStyle="1" w:styleId="ListNote">
    <w:name w:val="List Note"/>
    <w:basedOn w:val="List"/>
    <w:rsid w:val="00BD4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FC5"/>
    <w:rPr>
      <w:rFonts w:ascii="Courier New" w:hAnsi="Courier New"/>
    </w:rPr>
  </w:style>
  <w:style w:type="paragraph" w:customStyle="1" w:styleId="NoteBullet">
    <w:name w:val="Note Bullet"/>
    <w:basedOn w:val="Note"/>
    <w:rsid w:val="00BD4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F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4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FC5"/>
    <w:rPr>
      <w:b/>
      <w:smallCaps/>
    </w:rPr>
  </w:style>
  <w:style w:type="paragraph" w:customStyle="1" w:styleId="TableListNumber">
    <w:name w:val="Table List Number"/>
    <w:basedOn w:val="ListNumber"/>
    <w:rsid w:val="00BD4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FC5"/>
    <w:pPr>
      <w:numPr>
        <w:numId w:val="10"/>
      </w:numPr>
    </w:pPr>
  </w:style>
  <w:style w:type="paragraph" w:customStyle="1" w:styleId="ListAlpha2">
    <w:name w:val="List Alpha 2"/>
    <w:basedOn w:val="List2"/>
    <w:rsid w:val="00BD4FC5"/>
    <w:pPr>
      <w:numPr>
        <w:numId w:val="9"/>
      </w:numPr>
    </w:pPr>
  </w:style>
  <w:style w:type="paragraph" w:styleId="List2">
    <w:name w:val="List 2"/>
    <w:basedOn w:val="BodyText"/>
    <w:rsid w:val="00BD4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F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4F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4FC5"/>
    <w:pPr>
      <w:numPr>
        <w:numId w:val="5"/>
      </w:numPr>
    </w:pPr>
  </w:style>
  <w:style w:type="paragraph" w:styleId="ListContinue2">
    <w:name w:val="List Continue 2"/>
    <w:basedOn w:val="List2"/>
    <w:rsid w:val="00BD4FC5"/>
    <w:pPr>
      <w:ind w:firstLine="0"/>
    </w:pPr>
  </w:style>
  <w:style w:type="paragraph" w:styleId="ListContinue3">
    <w:name w:val="List Continue 3"/>
    <w:basedOn w:val="List3"/>
    <w:rsid w:val="00BD4FC5"/>
    <w:pPr>
      <w:ind w:left="1021" w:firstLine="0"/>
    </w:pPr>
  </w:style>
  <w:style w:type="paragraph" w:styleId="ListContinue4">
    <w:name w:val="List Continue 4"/>
    <w:basedOn w:val="List4"/>
    <w:rsid w:val="00BD4FC5"/>
    <w:pPr>
      <w:ind w:firstLine="0"/>
    </w:pPr>
  </w:style>
  <w:style w:type="paragraph" w:styleId="ListContinue5">
    <w:name w:val="List Continue 5"/>
    <w:basedOn w:val="List5"/>
    <w:rsid w:val="00BD4FC5"/>
    <w:pPr>
      <w:ind w:firstLine="0"/>
    </w:pPr>
  </w:style>
  <w:style w:type="paragraph" w:styleId="ListNumber3">
    <w:name w:val="List Number 3"/>
    <w:basedOn w:val="List3"/>
    <w:rsid w:val="00BD4FC5"/>
    <w:pPr>
      <w:numPr>
        <w:numId w:val="6"/>
      </w:numPr>
    </w:pPr>
  </w:style>
  <w:style w:type="paragraph" w:styleId="ListNumber4">
    <w:name w:val="List Number 4"/>
    <w:basedOn w:val="List4"/>
    <w:rsid w:val="00BD4FC5"/>
    <w:pPr>
      <w:numPr>
        <w:numId w:val="7"/>
      </w:numPr>
    </w:pPr>
  </w:style>
  <w:style w:type="paragraph" w:styleId="ListNumber5">
    <w:name w:val="List Number 5"/>
    <w:basedOn w:val="List5"/>
    <w:rsid w:val="00BD4FC5"/>
    <w:pPr>
      <w:numPr>
        <w:numId w:val="8"/>
      </w:numPr>
    </w:pPr>
  </w:style>
  <w:style w:type="paragraph" w:styleId="BlockText">
    <w:name w:val="Block Text"/>
    <w:basedOn w:val="Normal"/>
    <w:rsid w:val="00BD4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FC5"/>
    <w:rPr>
      <w:sz w:val="16"/>
      <w:vertAlign w:val="superscript"/>
    </w:rPr>
  </w:style>
  <w:style w:type="character" w:customStyle="1" w:styleId="Symbols">
    <w:name w:val="Symbols"/>
    <w:basedOn w:val="DefaultParagraphFont"/>
    <w:rsid w:val="00BD4FC5"/>
    <w:rPr>
      <w:rFonts w:ascii="Symbol" w:hAnsi="Symbol"/>
    </w:rPr>
  </w:style>
  <w:style w:type="character" w:customStyle="1" w:styleId="MenuOptions">
    <w:name w:val="Menu Options"/>
    <w:basedOn w:val="DefaultParagraphFont"/>
    <w:rsid w:val="00BD4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FC5"/>
    <w:rPr>
      <w:b/>
    </w:rPr>
  </w:style>
  <w:style w:type="character" w:customStyle="1" w:styleId="Underlined">
    <w:name w:val="Underlined"/>
    <w:basedOn w:val="DefaultParagraphFont"/>
    <w:rsid w:val="00BD4FC5"/>
    <w:rPr>
      <w:u w:val="single"/>
    </w:rPr>
  </w:style>
  <w:style w:type="paragraph" w:customStyle="1" w:styleId="TableBodyTextRight">
    <w:name w:val="Table Body Text Right"/>
    <w:basedOn w:val="TableBodyText"/>
    <w:rsid w:val="00BD4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FC5"/>
    <w:rPr>
      <w:sz w:val="18"/>
    </w:rPr>
  </w:style>
  <w:style w:type="paragraph" w:customStyle="1" w:styleId="BodySmallRight">
    <w:name w:val="Body Small Right"/>
    <w:basedOn w:val="BodyTextRight"/>
    <w:rsid w:val="00BD4FC5"/>
    <w:rPr>
      <w:sz w:val="18"/>
      <w:szCs w:val="18"/>
    </w:rPr>
  </w:style>
  <w:style w:type="paragraph" w:customStyle="1" w:styleId="MarginEdition">
    <w:name w:val="Margin Edition"/>
    <w:basedOn w:val="MarginNote"/>
    <w:rsid w:val="00BD4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FC5"/>
    <w:rPr>
      <w:sz w:val="2"/>
      <w:szCs w:val="2"/>
    </w:rPr>
  </w:style>
  <w:style w:type="character" w:customStyle="1" w:styleId="Small">
    <w:name w:val="Small"/>
    <w:basedOn w:val="DefaultParagraphFont"/>
    <w:rsid w:val="00BD4FC5"/>
    <w:rPr>
      <w:sz w:val="16"/>
    </w:rPr>
  </w:style>
  <w:style w:type="paragraph" w:customStyle="1" w:styleId="WideTable">
    <w:name w:val="Wide Table"/>
    <w:basedOn w:val="Normal"/>
    <w:rsid w:val="00BD4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FC5"/>
  </w:style>
  <w:style w:type="paragraph" w:styleId="Quote">
    <w:name w:val="Quote"/>
    <w:basedOn w:val="Heading1"/>
    <w:link w:val="QuoteChar"/>
    <w:qFormat/>
    <w:rsid w:val="00BD4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FC5"/>
    <w:pPr>
      <w:pageBreakBefore/>
    </w:pPr>
  </w:style>
  <w:style w:type="paragraph" w:customStyle="1" w:styleId="Border">
    <w:name w:val="Border"/>
    <w:basedOn w:val="Normal"/>
    <w:qFormat/>
    <w:rsid w:val="00BD4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FC5"/>
    <w:rPr>
      <w:u w:val="single"/>
    </w:rPr>
  </w:style>
  <w:style w:type="character" w:customStyle="1" w:styleId="BoldandItalics">
    <w:name w:val="Bold and Italics"/>
    <w:qFormat/>
    <w:rsid w:val="00BD4FC5"/>
    <w:rPr>
      <w:b/>
      <w:i/>
      <w:u w:val="none"/>
    </w:rPr>
  </w:style>
  <w:style w:type="paragraph" w:styleId="BalloonText">
    <w:name w:val="Balloon Text"/>
    <w:basedOn w:val="Normal"/>
    <w:link w:val="BalloonTextChar"/>
    <w:rsid w:val="00BD4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FC5"/>
    <w:pPr>
      <w:spacing w:before="0" w:after="0"/>
    </w:pPr>
  </w:style>
  <w:style w:type="paragraph" w:customStyle="1" w:styleId="BodyTextBold">
    <w:name w:val="Body Text Bold"/>
    <w:basedOn w:val="BodyText"/>
    <w:qFormat/>
    <w:rsid w:val="00BD4FC5"/>
    <w:rPr>
      <w:b/>
    </w:rPr>
  </w:style>
  <w:style w:type="character" w:styleId="Hyperlink">
    <w:name w:val="Hyperlink"/>
    <w:basedOn w:val="DefaultParagraphFont"/>
    <w:uiPriority w:val="99"/>
    <w:unhideWhenUsed/>
    <w:rsid w:val="00F57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3092</Characters>
  <Application>Microsoft Office Word</Application>
  <DocSecurity>0</DocSecurity>
  <Lines>99</Lines>
  <Paragraphs>75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AURRGA003 Moor motor-driven vessels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2020-11-13T04:57:00Z</dcterms:created>
  <dcterms:modified xsi:type="dcterms:W3CDTF">2020-11-13T04:57:00Z</dcterms:modified>
</cp:coreProperties>
</file>