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806" w:rsidP="00E31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AURRGA002 Use cranes, gantries and forklifts to launch and recover vessels</w:t>
      </w:r>
      <w:r>
        <w:fldChar w:fldCharType="end"/>
      </w:r>
    </w:p>
    <w:p w:rsidR="00E31806" w:rsidP="00E31806">
      <w:pPr>
        <w:pStyle w:val="Version"/>
        <w:sectPr w:rsidSect="008E7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0E0" w:rsidP="008E70E0">
      <w:pPr>
        <w:pStyle w:val="SuperHeading"/>
      </w:pPr>
      <w:r w:rsidRPr="008E70E0">
        <w:t>Assessment Requirements for AURRGA002 Use cranes, gantries and forklifts to launch and recover vessels</w:t>
      </w:r>
    </w:p>
    <w:p w:rsidR="00000000" w:rsidRPr="008E70E0" w:rsidP="008E70E0">
      <w:pPr>
        <w:pStyle w:val="Heading1"/>
      </w:pPr>
      <w:bookmarkStart w:id="1" w:name="O_795384"/>
      <w:bookmarkEnd w:id="1"/>
      <w:r w:rsidRPr="008E70E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18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0E0" w:rsidP="008E70E0">
            <w:pPr>
              <w:pStyle w:val="BodyText"/>
            </w:pPr>
            <w:r w:rsidRPr="008E70E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0E0">
            <w:pPr>
              <w:pStyle w:val="BodyText"/>
              <w:rPr>
                <w:lang w:val="en-NZ"/>
              </w:rPr>
            </w:pPr>
            <w:r w:rsidRPr="008E70E0">
              <w:rPr>
                <w:rStyle w:val="SpecialBold"/>
              </w:rPr>
              <w:t>Comment</w:t>
            </w:r>
          </w:p>
        </w:tc>
      </w:tr>
      <w:tr w:rsidTr="00E318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0E0">
            <w:pPr>
              <w:pStyle w:val="BodyText"/>
              <w:rPr>
                <w:lang w:val="en-NZ"/>
              </w:rPr>
            </w:pPr>
            <w:r w:rsidRPr="008E70E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0E0" w:rsidP="008E70E0">
            <w:pPr>
              <w:pStyle w:val="BodyText"/>
            </w:pPr>
            <w:r w:rsidRPr="008E70E0">
              <w:t>New unit of competency.</w:t>
            </w:r>
          </w:p>
        </w:tc>
      </w:tr>
    </w:tbl>
    <w:p w:rsidR="00000000" w:rsidRPr="008E70E0" w:rsidP="008E70E0">
      <w:pPr>
        <w:pStyle w:val="BodyText"/>
      </w:pPr>
    </w:p>
    <w:p w:rsidR="00000000" w:rsidRPr="008E70E0" w:rsidP="008E70E0">
      <w:pPr>
        <w:pStyle w:val="AllowPageBreak"/>
      </w:pPr>
    </w:p>
    <w:p w:rsidR="00000000" w:rsidRPr="008E70E0" w:rsidP="008E70E0">
      <w:pPr>
        <w:pStyle w:val="Heading1"/>
      </w:pPr>
      <w:bookmarkStart w:id="2" w:name="O_795385"/>
      <w:bookmarkEnd w:id="2"/>
      <w:r w:rsidRPr="008E70E0">
        <w:t>Performance Evidence</w:t>
      </w:r>
    </w:p>
    <w:p w:rsidR="00000000" w:rsidRPr="008E70E0" w:rsidP="00E31806">
      <w:pPr>
        <w:pStyle w:val="BodyText"/>
      </w:pPr>
      <w:r w:rsidRPr="008E70E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E70E0" w:rsidP="008E70E0">
      <w:pPr>
        <w:pStyle w:val="ListBullet2"/>
      </w:pPr>
      <w:r w:rsidRPr="008E70E0">
        <w:t>launch and recover two vessels of</w:t>
      </w:r>
      <w:r w:rsidRPr="008E70E0">
        <w:t xml:space="preserve"> up to 10 metres in length with a maximum beam of 2.5 metres, using a crane, gantry or forklift.</w:t>
      </w:r>
    </w:p>
    <w:p w:rsidR="00000000" w:rsidRPr="008E70E0" w:rsidP="008E70E0">
      <w:pPr>
        <w:pStyle w:val="AllowPageBreak"/>
      </w:pPr>
    </w:p>
    <w:p w:rsidR="00000000" w:rsidRPr="008E70E0" w:rsidP="008E70E0">
      <w:pPr>
        <w:pStyle w:val="Heading1"/>
      </w:pPr>
      <w:bookmarkStart w:id="3" w:name="O_795386"/>
      <w:bookmarkEnd w:id="3"/>
      <w:r w:rsidRPr="008E70E0">
        <w:t>Knowledge Evidence</w:t>
      </w:r>
    </w:p>
    <w:p w:rsidR="00000000" w:rsidRPr="008E70E0" w:rsidP="00E31806">
      <w:pPr>
        <w:pStyle w:val="BodyText"/>
      </w:pPr>
      <w:r w:rsidRPr="008E70E0">
        <w:t>Individuals must be able to demonstrate knowledge of:</w:t>
      </w:r>
    </w:p>
    <w:p w:rsidR="00000000" w:rsidRPr="008E70E0" w:rsidP="008E70E0">
      <w:pPr>
        <w:pStyle w:val="ListBullet"/>
      </w:pPr>
      <w:r w:rsidRPr="008E70E0">
        <w:t>work health and safety (WHS) and occupational health and safety (OHS) requirements relating to launching and recovering a vessel using a crane, gantry or forklift, including procedures for:</w:t>
      </w:r>
    </w:p>
    <w:p w:rsidR="00000000" w:rsidRPr="008E70E0" w:rsidP="008E70E0">
      <w:pPr>
        <w:pStyle w:val="ListBullet2"/>
      </w:pPr>
      <w:r w:rsidRPr="008E70E0">
        <w:t>determining safe lifting limits of cranes, gantries and forklifts</w:t>
      </w:r>
    </w:p>
    <w:p w:rsidR="00000000" w:rsidRPr="008E70E0" w:rsidP="008E70E0">
      <w:pPr>
        <w:pStyle w:val="ListBullet2"/>
      </w:pPr>
      <w:r w:rsidRPr="008E70E0">
        <w:t>positioning slings and lifting equipment</w:t>
      </w:r>
    </w:p>
    <w:p w:rsidR="00000000" w:rsidRPr="008E70E0" w:rsidP="008E70E0">
      <w:pPr>
        <w:pStyle w:val="ListBullet"/>
      </w:pPr>
      <w:r w:rsidRPr="008E70E0">
        <w:t>pre-launch inspection procedures, including inspection procedures for:</w:t>
      </w:r>
    </w:p>
    <w:p w:rsidR="00000000" w:rsidRPr="008E70E0" w:rsidP="008E70E0">
      <w:pPr>
        <w:pStyle w:val="ListBullet2"/>
      </w:pPr>
      <w:r w:rsidRPr="008E70E0">
        <w:t>vessel safety equipment, including:</w:t>
      </w:r>
    </w:p>
    <w:p w:rsidR="00000000" w:rsidRPr="008E70E0" w:rsidP="008E70E0">
      <w:pPr>
        <w:pStyle w:val="ListBullet3"/>
      </w:pPr>
      <w:r w:rsidRPr="008E70E0">
        <w:t>life jackets</w:t>
      </w:r>
    </w:p>
    <w:p w:rsidR="00000000" w:rsidRPr="008E70E0" w:rsidP="008E70E0">
      <w:pPr>
        <w:pStyle w:val="ListBullet3"/>
      </w:pPr>
      <w:r w:rsidRPr="008E70E0">
        <w:t>anchors</w:t>
      </w:r>
    </w:p>
    <w:p w:rsidR="00000000" w:rsidRPr="008E70E0" w:rsidP="008E70E0">
      <w:pPr>
        <w:pStyle w:val="ListBullet3"/>
      </w:pPr>
      <w:r w:rsidRPr="008E70E0">
        <w:t>bailer or fire bucket and lanyard</w:t>
      </w:r>
    </w:p>
    <w:p w:rsidR="00000000" w:rsidRPr="008E70E0" w:rsidP="008E70E0">
      <w:pPr>
        <w:pStyle w:val="ListBullet3"/>
      </w:pPr>
      <w:r w:rsidRPr="008E70E0">
        <w:t>bilge pump</w:t>
      </w:r>
    </w:p>
    <w:p w:rsidR="00000000" w:rsidRPr="008E70E0" w:rsidP="008E70E0">
      <w:pPr>
        <w:pStyle w:val="ListBullet3"/>
      </w:pPr>
      <w:r w:rsidRPr="008E70E0">
        <w:t>compass</w:t>
      </w:r>
    </w:p>
    <w:p w:rsidR="00000000" w:rsidRPr="008E70E0" w:rsidP="008E70E0">
      <w:pPr>
        <w:pStyle w:val="ListBullet3"/>
      </w:pPr>
      <w:r w:rsidRPr="008E70E0">
        <w:t>distress flares</w:t>
      </w:r>
    </w:p>
    <w:p w:rsidR="00000000" w:rsidRPr="008E70E0" w:rsidP="008E70E0">
      <w:pPr>
        <w:pStyle w:val="ListBullet3"/>
      </w:pPr>
      <w:r w:rsidRPr="008E70E0">
        <w:t>emergency position indicating radio beacon (EPIRB)</w:t>
      </w:r>
    </w:p>
    <w:p w:rsidR="00000000" w:rsidRPr="008E70E0" w:rsidP="008E70E0">
      <w:pPr>
        <w:pStyle w:val="ListBullet3"/>
      </w:pPr>
      <w:r w:rsidRPr="008E70E0">
        <w:t>fire extinguisher</w:t>
      </w:r>
    </w:p>
    <w:p w:rsidR="00000000" w:rsidRPr="008E70E0" w:rsidP="008E70E0">
      <w:pPr>
        <w:pStyle w:val="ListBullet3"/>
      </w:pPr>
      <w:r w:rsidRPr="008E70E0">
        <w:t>map</w:t>
      </w:r>
    </w:p>
    <w:p w:rsidR="00000000" w:rsidRPr="008E70E0" w:rsidP="008E70E0">
      <w:pPr>
        <w:pStyle w:val="ListBullet3"/>
      </w:pPr>
      <w:r w:rsidRPr="008E70E0">
        <w:t>marine radio</w:t>
      </w:r>
    </w:p>
    <w:p w:rsidR="00000000" w:rsidRPr="008E70E0" w:rsidP="008E70E0">
      <w:pPr>
        <w:pStyle w:val="ListBullet3"/>
      </w:pPr>
      <w:r w:rsidRPr="008E70E0">
        <w:t>paddles and oars</w:t>
      </w:r>
    </w:p>
    <w:p w:rsidR="00000000" w:rsidRPr="008E70E0" w:rsidP="008E70E0">
      <w:pPr>
        <w:pStyle w:val="ListBullet3"/>
      </w:pPr>
      <w:r w:rsidRPr="008E70E0">
        <w:t>safety and capacity labels</w:t>
      </w:r>
    </w:p>
    <w:p w:rsidR="00000000" w:rsidRPr="008E70E0" w:rsidP="008E70E0">
      <w:pPr>
        <w:pStyle w:val="ListBullet3"/>
      </w:pPr>
      <w:r w:rsidRPr="008E70E0">
        <w:t>sound signals</w:t>
      </w:r>
    </w:p>
    <w:p w:rsidR="00000000" w:rsidRPr="008E70E0" w:rsidP="008E70E0">
      <w:pPr>
        <w:pStyle w:val="ListBullet3"/>
      </w:pPr>
      <w:r w:rsidRPr="008E70E0">
        <w:t>drinking water</w:t>
      </w:r>
    </w:p>
    <w:p w:rsidR="00000000" w:rsidRPr="008E70E0" w:rsidP="008E70E0">
      <w:pPr>
        <w:pStyle w:val="ListBullet3"/>
      </w:pPr>
      <w:r w:rsidRPr="008E70E0">
        <w:t>waterproof torch</w:t>
      </w:r>
    </w:p>
    <w:p w:rsidR="00000000" w:rsidRPr="008E70E0" w:rsidP="008E70E0">
      <w:pPr>
        <w:pStyle w:val="ListBullet2"/>
      </w:pPr>
      <w:r w:rsidRPr="008E70E0">
        <w:t>hulls and fittings</w:t>
      </w:r>
    </w:p>
    <w:p w:rsidR="00000000" w:rsidRPr="008E70E0" w:rsidP="008E70E0">
      <w:pPr>
        <w:pStyle w:val="ListBullet2"/>
      </w:pPr>
      <w:r w:rsidRPr="008E70E0">
        <w:t>cranes, gantries and forklifts</w:t>
      </w:r>
    </w:p>
    <w:p w:rsidR="00000000" w:rsidRPr="008E70E0" w:rsidP="008E70E0">
      <w:pPr>
        <w:pStyle w:val="ListBullet"/>
      </w:pPr>
      <w:r w:rsidRPr="008E70E0">
        <w:t>state or territory legislation, regulations, marine safety laws, standards and codes of practice relating to marine launch sites</w:t>
      </w:r>
    </w:p>
    <w:p w:rsidR="00000000" w:rsidRPr="008E70E0" w:rsidP="008E70E0">
      <w:pPr>
        <w:pStyle w:val="ListBullet"/>
      </w:pPr>
      <w:r w:rsidRPr="008E70E0">
        <w:t>vessel launching and recovery procedures, including:</w:t>
      </w:r>
    </w:p>
    <w:p w:rsidR="00000000" w:rsidRPr="008E70E0" w:rsidP="008E70E0">
      <w:pPr>
        <w:pStyle w:val="ListBullet2"/>
      </w:pPr>
      <w:r w:rsidRPr="008E70E0">
        <w:t>procedures for determining water depth required for vessel flotation</w:t>
      </w:r>
    </w:p>
    <w:p w:rsidR="00000000" w:rsidRPr="008E70E0" w:rsidP="008E70E0">
      <w:pPr>
        <w:pStyle w:val="ListBullet2"/>
      </w:pPr>
      <w:r w:rsidRPr="008E70E0">
        <w:t>type</w:t>
      </w:r>
      <w:r w:rsidRPr="008E70E0">
        <w:t>, application and operation of cranes, gantries and forklifts, including:</w:t>
      </w:r>
    </w:p>
    <w:p w:rsidR="00000000" w:rsidRPr="008E70E0" w:rsidP="008E70E0">
      <w:pPr>
        <w:pStyle w:val="ListBullet3"/>
      </w:pPr>
      <w:r w:rsidRPr="008E70E0">
        <w:t>lifting sling equipment and vessel attachment points</w:t>
      </w:r>
    </w:p>
    <w:p w:rsidR="00000000" w:rsidRPr="008E70E0" w:rsidP="008E70E0">
      <w:pPr>
        <w:pStyle w:val="ListBullet3"/>
      </w:pPr>
      <w:r w:rsidRPr="008E70E0">
        <w:t>techniques for manoeuvring a crane, gantry, forklift and attached vessel.</w:t>
      </w:r>
    </w:p>
    <w:p w:rsidR="00000000" w:rsidRPr="008E70E0" w:rsidP="008E70E0">
      <w:pPr>
        <w:pStyle w:val="AllowPageBreak"/>
      </w:pPr>
    </w:p>
    <w:p w:rsidR="00000000" w:rsidRPr="008E70E0" w:rsidP="008E70E0">
      <w:pPr>
        <w:pStyle w:val="Heading1"/>
      </w:pPr>
      <w:bookmarkStart w:id="4" w:name="O_795387"/>
      <w:bookmarkEnd w:id="4"/>
      <w:r w:rsidRPr="008E70E0">
        <w:t>Assessment Conditions</w:t>
      </w:r>
    </w:p>
    <w:p w:rsidR="00000000" w:rsidRPr="008E70E0" w:rsidP="00E31806">
      <w:pPr>
        <w:pStyle w:val="BodyText"/>
      </w:pPr>
      <w:r w:rsidRPr="008E70E0">
        <w:t>Assessors must satisfy NVR/AQTF assessor requirements.</w:t>
      </w:r>
    </w:p>
    <w:p w:rsidR="00000000" w:rsidRPr="008E70E0" w:rsidP="00E31806">
      <w:pPr>
        <w:pStyle w:val="BodyText"/>
      </w:pPr>
      <w:r w:rsidRPr="008E70E0">
        <w:t>Competency is to be assessed in the workplace or a simulated environment that accurately reflects performance in a real workplace setting.</w:t>
      </w:r>
    </w:p>
    <w:p w:rsidR="00000000" w:rsidRPr="008E70E0" w:rsidP="00E31806">
      <w:pPr>
        <w:pStyle w:val="BodyText"/>
      </w:pPr>
      <w:r w:rsidRPr="008E70E0">
        <w:t>Assessment must include direct observation of tasks.</w:t>
      </w:r>
    </w:p>
    <w:p w:rsidR="00000000" w:rsidRPr="008E70E0" w:rsidP="00E31806">
      <w:pPr>
        <w:pStyle w:val="BodyText"/>
      </w:pPr>
      <w:r w:rsidRPr="008E70E0">
        <w:t xml:space="preserve">Where </w:t>
      </w:r>
      <w:r w:rsidRPr="008E70E0">
        <w:t>assessment of competency includes third-party evidence, individuals must provide evidence that links them to the vessels that they have launched and recovered using a crane, gantry or forklift, e.g. repair orders.</w:t>
      </w:r>
    </w:p>
    <w:p w:rsidR="00000000" w:rsidRPr="008E70E0" w:rsidP="00E31806">
      <w:pPr>
        <w:pStyle w:val="BodyText"/>
      </w:pPr>
      <w:r w:rsidRPr="008E70E0">
        <w:t>Assessors must verify performance evidenc</w:t>
      </w:r>
      <w:r w:rsidRPr="008E70E0">
        <w:t>e through questioning on skills and knowledge to ensure correct interpretation and application.</w:t>
      </w:r>
    </w:p>
    <w:p w:rsidR="00000000" w:rsidRPr="008E70E0" w:rsidP="00E31806">
      <w:pPr>
        <w:pStyle w:val="BodyText"/>
      </w:pPr>
      <w:r w:rsidRPr="008E70E0">
        <w:t>The following resources must be made available:</w:t>
      </w:r>
    </w:p>
    <w:p w:rsidR="00000000" w:rsidRPr="008E70E0" w:rsidP="008E70E0">
      <w:pPr>
        <w:pStyle w:val="ListBullet"/>
      </w:pPr>
      <w:r w:rsidRPr="008E70E0">
        <w:t>launch site at an estuary or seaway</w:t>
      </w:r>
    </w:p>
    <w:p w:rsidR="00000000" w:rsidRPr="008E70E0" w:rsidP="008E70E0">
      <w:pPr>
        <w:pStyle w:val="ListBullet"/>
      </w:pPr>
      <w:r w:rsidRPr="008E70E0">
        <w:t>two different vessels as specified in the performance evidence</w:t>
      </w:r>
    </w:p>
    <w:p w:rsidR="00000000" w:rsidRPr="008E70E0" w:rsidP="008E70E0">
      <w:pPr>
        <w:pStyle w:val="ListBullet"/>
      </w:pPr>
      <w:r w:rsidRPr="008E70E0">
        <w:t>crane, gantry or forklift appropriate for launching and recovering vessels</w:t>
      </w:r>
    </w:p>
    <w:p w:rsidR="00000000" w:rsidRPr="008E70E0" w:rsidP="008E70E0">
      <w:pPr>
        <w:pStyle w:val="ListBullet"/>
      </w:pPr>
      <w:r w:rsidRPr="008E70E0">
        <w:t>state and territory marine safety laws</w:t>
      </w:r>
    </w:p>
    <w:p w:rsidR="00000000" w:rsidRPr="008E70E0" w:rsidP="008E70E0">
      <w:pPr>
        <w:pStyle w:val="ListBullet"/>
      </w:pPr>
      <w:r w:rsidRPr="008E70E0">
        <w:t>tools, equipment and materials appropriate for inspecting, launching and recovering vessels using a crane, gantry or forklift.</w:t>
      </w:r>
    </w:p>
    <w:p w:rsidR="00000000" w:rsidRPr="008E70E0" w:rsidP="008E70E0">
      <w:pPr>
        <w:pStyle w:val="AllowPageBreak"/>
      </w:pPr>
    </w:p>
    <w:p w:rsidR="00000000" w:rsidRPr="008E70E0" w:rsidP="008E70E0">
      <w:pPr>
        <w:pStyle w:val="Heading1"/>
      </w:pPr>
      <w:bookmarkStart w:id="5" w:name="O_795390"/>
      <w:bookmarkEnd w:id="5"/>
      <w:r w:rsidRPr="008E70E0">
        <w:t>Links</w:t>
      </w:r>
    </w:p>
    <w:p w:rsidR="00000000" w:rsidRPr="008E70E0" w:rsidP="00E31806">
      <w:pPr>
        <w:pStyle w:val="BodyText"/>
      </w:pPr>
      <w:r w:rsidRPr="008E7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3D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70E0" w:rsidP="00E31806">
      <w:pPr>
        <w:pStyle w:val="BodyText"/>
      </w:pPr>
      <w:r w:rsidRPr="008E7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3D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70E0" w:rsidP="008E70E0"/>
    <w:sectPr w:rsidSect="008E70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E0" w:rsidRPr="00E31806" w:rsidP="00E31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06" w:rsidP="008E7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806" w:rsidP="008E7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1806" w:rsidP="008E7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0E0" w:rsidRPr="00E31806" w:rsidP="00E31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06" w:rsidRPr="002D2AF8" w:rsidP="008E7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AURRGA002 Use cranes, gantries and forklifts to launch and recover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E31806" w:rsidP="008E7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346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3E7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AA9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0E0"/>
  </w:style>
  <w:style w:type="character" w:customStyle="1" w:styleId="Heading1Char">
    <w:name w:val="Heading 1 Char"/>
    <w:basedOn w:val="DefaultParagraphFont"/>
    <w:link w:val="Heading1"/>
    <w:rsid w:val="008E7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0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0E0"/>
    <w:rPr>
      <w:b/>
      <w:spacing w:val="0"/>
    </w:rPr>
  </w:style>
  <w:style w:type="paragraph" w:styleId="ListBullet2">
    <w:name w:val="List Bullet 2"/>
    <w:basedOn w:val="List2"/>
    <w:rsid w:val="008E70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70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7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0E0"/>
    <w:rPr>
      <w:i/>
    </w:rPr>
  </w:style>
  <w:style w:type="paragraph" w:styleId="Caption">
    <w:name w:val="caption"/>
    <w:basedOn w:val="BodyText"/>
    <w:next w:val="Normal"/>
    <w:qFormat/>
    <w:rsid w:val="008E7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0E0"/>
  </w:style>
  <w:style w:type="paragraph" w:styleId="TableofFigures">
    <w:name w:val="table of figures"/>
    <w:basedOn w:val="Normal"/>
    <w:next w:val="Normal"/>
    <w:semiHidden/>
    <w:rsid w:val="008E7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0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70E0"/>
    <w:rPr>
      <w:rFonts w:ascii="Wingdings" w:hAnsi="Wingdings"/>
    </w:rPr>
  </w:style>
  <w:style w:type="paragraph" w:customStyle="1" w:styleId="TableHeading">
    <w:name w:val="Table Heading"/>
    <w:basedOn w:val="HeadingBase"/>
    <w:rsid w:val="008E7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0E0"/>
    <w:rPr>
      <w:color w:val="0033CC"/>
      <w:u w:val="none"/>
    </w:rPr>
  </w:style>
  <w:style w:type="paragraph" w:customStyle="1" w:styleId="BodyTextRight">
    <w:name w:val="Body Text Right"/>
    <w:basedOn w:val="BodyText"/>
    <w:rsid w:val="008E7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0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0E0"/>
    <w:rPr>
      <w:sz w:val="32"/>
    </w:rPr>
  </w:style>
  <w:style w:type="paragraph" w:customStyle="1" w:styleId="HeadingProcedure">
    <w:name w:val="Heading Procedure"/>
    <w:basedOn w:val="HeadingBase"/>
    <w:next w:val="Normal"/>
    <w:rsid w:val="008E7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0E0"/>
    <w:pPr>
      <w:spacing w:before="60" w:after="60"/>
    </w:pPr>
  </w:style>
  <w:style w:type="paragraph" w:styleId="ListContinue">
    <w:name w:val="List Continue"/>
    <w:basedOn w:val="List"/>
    <w:rsid w:val="008E70E0"/>
    <w:pPr>
      <w:ind w:firstLine="0"/>
    </w:pPr>
  </w:style>
  <w:style w:type="paragraph" w:customStyle="1" w:styleId="ListNote">
    <w:name w:val="List Note"/>
    <w:basedOn w:val="List"/>
    <w:rsid w:val="008E7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0E0"/>
    <w:rPr>
      <w:rFonts w:ascii="Courier New" w:hAnsi="Courier New"/>
    </w:rPr>
  </w:style>
  <w:style w:type="paragraph" w:customStyle="1" w:styleId="NoteBullet">
    <w:name w:val="Note Bullet"/>
    <w:basedOn w:val="Note"/>
    <w:rsid w:val="008E7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0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7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0E0"/>
    <w:rPr>
      <w:b/>
      <w:smallCaps/>
    </w:rPr>
  </w:style>
  <w:style w:type="paragraph" w:customStyle="1" w:styleId="TableListNumber">
    <w:name w:val="Table List Number"/>
    <w:basedOn w:val="ListNumber"/>
    <w:rsid w:val="008E7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0E0"/>
    <w:pPr>
      <w:numPr>
        <w:numId w:val="10"/>
      </w:numPr>
    </w:pPr>
  </w:style>
  <w:style w:type="paragraph" w:customStyle="1" w:styleId="ListAlpha2">
    <w:name w:val="List Alpha 2"/>
    <w:basedOn w:val="List2"/>
    <w:rsid w:val="008E70E0"/>
    <w:pPr>
      <w:numPr>
        <w:numId w:val="9"/>
      </w:numPr>
    </w:pPr>
  </w:style>
  <w:style w:type="paragraph" w:styleId="List2">
    <w:name w:val="List 2"/>
    <w:basedOn w:val="BodyText"/>
    <w:rsid w:val="008E7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0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70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70E0"/>
    <w:pPr>
      <w:numPr>
        <w:numId w:val="5"/>
      </w:numPr>
    </w:pPr>
  </w:style>
  <w:style w:type="paragraph" w:styleId="ListContinue2">
    <w:name w:val="List Continue 2"/>
    <w:basedOn w:val="List2"/>
    <w:rsid w:val="008E70E0"/>
    <w:pPr>
      <w:ind w:firstLine="0"/>
    </w:pPr>
  </w:style>
  <w:style w:type="paragraph" w:styleId="ListContinue3">
    <w:name w:val="List Continue 3"/>
    <w:basedOn w:val="List3"/>
    <w:rsid w:val="008E70E0"/>
    <w:pPr>
      <w:ind w:left="1021" w:firstLine="0"/>
    </w:pPr>
  </w:style>
  <w:style w:type="paragraph" w:styleId="ListContinue4">
    <w:name w:val="List Continue 4"/>
    <w:basedOn w:val="List4"/>
    <w:rsid w:val="008E70E0"/>
    <w:pPr>
      <w:ind w:firstLine="0"/>
    </w:pPr>
  </w:style>
  <w:style w:type="paragraph" w:styleId="ListContinue5">
    <w:name w:val="List Continue 5"/>
    <w:basedOn w:val="List5"/>
    <w:rsid w:val="008E70E0"/>
    <w:pPr>
      <w:ind w:firstLine="0"/>
    </w:pPr>
  </w:style>
  <w:style w:type="paragraph" w:styleId="ListNumber3">
    <w:name w:val="List Number 3"/>
    <w:basedOn w:val="List3"/>
    <w:rsid w:val="008E70E0"/>
    <w:pPr>
      <w:numPr>
        <w:numId w:val="6"/>
      </w:numPr>
    </w:pPr>
  </w:style>
  <w:style w:type="paragraph" w:styleId="ListNumber4">
    <w:name w:val="List Number 4"/>
    <w:basedOn w:val="List4"/>
    <w:rsid w:val="008E70E0"/>
    <w:pPr>
      <w:numPr>
        <w:numId w:val="7"/>
      </w:numPr>
    </w:pPr>
  </w:style>
  <w:style w:type="paragraph" w:styleId="ListNumber5">
    <w:name w:val="List Number 5"/>
    <w:basedOn w:val="List5"/>
    <w:rsid w:val="008E70E0"/>
    <w:pPr>
      <w:numPr>
        <w:numId w:val="8"/>
      </w:numPr>
    </w:pPr>
  </w:style>
  <w:style w:type="paragraph" w:styleId="BlockText">
    <w:name w:val="Block Text"/>
    <w:basedOn w:val="Normal"/>
    <w:rsid w:val="008E7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0E0"/>
    <w:rPr>
      <w:sz w:val="16"/>
      <w:vertAlign w:val="superscript"/>
    </w:rPr>
  </w:style>
  <w:style w:type="character" w:customStyle="1" w:styleId="Symbols">
    <w:name w:val="Symbols"/>
    <w:basedOn w:val="DefaultParagraphFont"/>
    <w:rsid w:val="008E70E0"/>
    <w:rPr>
      <w:rFonts w:ascii="Symbol" w:hAnsi="Symbol"/>
    </w:rPr>
  </w:style>
  <w:style w:type="character" w:customStyle="1" w:styleId="MenuOptions">
    <w:name w:val="Menu Options"/>
    <w:basedOn w:val="DefaultParagraphFont"/>
    <w:rsid w:val="008E7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0E0"/>
    <w:rPr>
      <w:b/>
    </w:rPr>
  </w:style>
  <w:style w:type="character" w:customStyle="1" w:styleId="Underlined">
    <w:name w:val="Underlined"/>
    <w:basedOn w:val="DefaultParagraphFont"/>
    <w:rsid w:val="008E70E0"/>
    <w:rPr>
      <w:u w:val="single"/>
    </w:rPr>
  </w:style>
  <w:style w:type="paragraph" w:customStyle="1" w:styleId="TableBodyTextRight">
    <w:name w:val="Table Body Text Right"/>
    <w:basedOn w:val="TableBodyText"/>
    <w:rsid w:val="008E7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0E0"/>
    <w:rPr>
      <w:sz w:val="18"/>
    </w:rPr>
  </w:style>
  <w:style w:type="paragraph" w:customStyle="1" w:styleId="BodySmallRight">
    <w:name w:val="Body Small Right"/>
    <w:basedOn w:val="BodyTextRight"/>
    <w:rsid w:val="008E70E0"/>
    <w:rPr>
      <w:sz w:val="18"/>
      <w:szCs w:val="18"/>
    </w:rPr>
  </w:style>
  <w:style w:type="paragraph" w:customStyle="1" w:styleId="MarginEdition">
    <w:name w:val="Margin Edition"/>
    <w:basedOn w:val="MarginNote"/>
    <w:rsid w:val="008E7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0E0"/>
    <w:rPr>
      <w:sz w:val="2"/>
      <w:szCs w:val="2"/>
    </w:rPr>
  </w:style>
  <w:style w:type="character" w:customStyle="1" w:styleId="Small">
    <w:name w:val="Small"/>
    <w:basedOn w:val="DefaultParagraphFont"/>
    <w:rsid w:val="008E70E0"/>
    <w:rPr>
      <w:sz w:val="16"/>
    </w:rPr>
  </w:style>
  <w:style w:type="paragraph" w:customStyle="1" w:styleId="WideTable">
    <w:name w:val="Wide Table"/>
    <w:basedOn w:val="Normal"/>
    <w:rsid w:val="008E7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0E0"/>
  </w:style>
  <w:style w:type="paragraph" w:styleId="Quote">
    <w:name w:val="Quote"/>
    <w:basedOn w:val="Heading1"/>
    <w:link w:val="QuoteChar"/>
    <w:qFormat/>
    <w:rsid w:val="008E7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0E0"/>
    <w:pPr>
      <w:pageBreakBefore/>
    </w:pPr>
  </w:style>
  <w:style w:type="paragraph" w:customStyle="1" w:styleId="Border">
    <w:name w:val="Border"/>
    <w:basedOn w:val="Normal"/>
    <w:qFormat/>
    <w:rsid w:val="008E7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0E0"/>
    <w:rPr>
      <w:u w:val="single"/>
    </w:rPr>
  </w:style>
  <w:style w:type="character" w:customStyle="1" w:styleId="BoldandItalics">
    <w:name w:val="Bold and Italics"/>
    <w:qFormat/>
    <w:rsid w:val="008E70E0"/>
    <w:rPr>
      <w:b/>
      <w:i/>
      <w:u w:val="none"/>
    </w:rPr>
  </w:style>
  <w:style w:type="paragraph" w:styleId="BalloonText">
    <w:name w:val="Balloon Text"/>
    <w:basedOn w:val="Normal"/>
    <w:link w:val="BalloonTextChar"/>
    <w:rsid w:val="008E7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0E0"/>
    <w:pPr>
      <w:spacing w:before="0" w:after="0"/>
    </w:pPr>
  </w:style>
  <w:style w:type="paragraph" w:customStyle="1" w:styleId="BodyTextBold">
    <w:name w:val="Body Text Bold"/>
    <w:basedOn w:val="BodyText"/>
    <w:qFormat/>
    <w:rsid w:val="008E70E0"/>
    <w:rPr>
      <w:b/>
    </w:rPr>
  </w:style>
  <w:style w:type="character" w:styleId="Hyperlink">
    <w:name w:val="Hyperlink"/>
    <w:basedOn w:val="DefaultParagraphFont"/>
    <w:uiPriority w:val="99"/>
    <w:unhideWhenUsed/>
    <w:rsid w:val="00E31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3042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AURRGA002 Use cranes, gantries and forklifts to launch and recover vessels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2020-11-13T03:37:00Z</dcterms:created>
  <dcterms:modified xsi:type="dcterms:W3CDTF">2020-11-13T03:37:00Z</dcterms:modified>
</cp:coreProperties>
</file>