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4DAF" w:rsidP="00F24D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AURPTA110 Inspect and service pumping systems</w:t>
      </w:r>
      <w:r>
        <w:fldChar w:fldCharType="end"/>
      </w:r>
    </w:p>
    <w:p w:rsidR="00F24DAF" w:rsidP="00F24DAF">
      <w:pPr>
        <w:pStyle w:val="Version"/>
        <w:sectPr w:rsidSect="00EB29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296B" w:rsidP="00EB296B">
      <w:pPr>
        <w:pStyle w:val="SuperHeading"/>
      </w:pPr>
      <w:r w:rsidRPr="00EB296B">
        <w:t>Assessment Requirements for AURPTA110 Inspect and service pumping systems</w:t>
      </w:r>
    </w:p>
    <w:p w:rsidR="00000000" w:rsidRPr="00EB296B" w:rsidP="00EB296B">
      <w:pPr>
        <w:pStyle w:val="Heading1"/>
      </w:pPr>
      <w:bookmarkStart w:id="1" w:name="O_1128940"/>
      <w:bookmarkEnd w:id="1"/>
      <w:r w:rsidRPr="00EB29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B2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96B" w:rsidP="00EB296B">
            <w:pPr>
              <w:pStyle w:val="BodyText"/>
            </w:pPr>
            <w:r w:rsidRPr="00EB296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6B">
            <w:pPr>
              <w:pStyle w:val="BodyText"/>
              <w:rPr>
                <w:lang w:val="en-NZ"/>
              </w:rPr>
            </w:pPr>
            <w:r w:rsidRPr="00EB296B">
              <w:rPr>
                <w:rStyle w:val="SpecialBold"/>
              </w:rPr>
              <w:t>Comments</w:t>
            </w:r>
          </w:p>
        </w:tc>
      </w:tr>
      <w:tr w:rsidTr="00EB2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96B">
            <w:pPr>
              <w:pStyle w:val="BodyText"/>
              <w:rPr>
                <w:lang w:val="en-NZ"/>
              </w:rPr>
            </w:pPr>
            <w:r w:rsidRPr="00EB296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96B" w:rsidP="00EB296B">
            <w:pPr>
              <w:pStyle w:val="BodyText"/>
            </w:pPr>
            <w:r w:rsidRPr="00EB296B">
              <w:t>This version first released with AUR Automotive Retail, Service and Repair Training Package Version 6.0</w:t>
            </w:r>
          </w:p>
        </w:tc>
      </w:tr>
    </w:tbl>
    <w:p w:rsidR="00000000" w:rsidRPr="00EB296B" w:rsidP="00EB296B">
      <w:pPr>
        <w:pStyle w:val="BodyText"/>
      </w:pPr>
    </w:p>
    <w:p w:rsidR="00000000" w:rsidRPr="00EB296B" w:rsidP="00EB296B">
      <w:pPr>
        <w:pStyle w:val="AllowPageBreak"/>
      </w:pPr>
    </w:p>
    <w:p w:rsidR="00000000" w:rsidRPr="00EB296B" w:rsidP="00EB296B">
      <w:pPr>
        <w:pStyle w:val="Heading1"/>
      </w:pPr>
      <w:bookmarkStart w:id="2" w:name="O_1128943"/>
      <w:bookmarkEnd w:id="2"/>
      <w:r w:rsidRPr="00EB296B">
        <w:t>Performance Evidence</w:t>
      </w:r>
    </w:p>
    <w:p w:rsidR="00000000" w:rsidRPr="00EB296B" w:rsidP="00F24DAF">
      <w:pPr>
        <w:pStyle w:val="BodyText"/>
      </w:pPr>
      <w:r w:rsidRPr="00EB296B">
        <w:t>The candidate must demonstrate the ability to complete the tasks outlined in the elements, performance criteria and foundation skills of this unit, including evidence of the ability to:</w:t>
      </w:r>
    </w:p>
    <w:p w:rsidR="00000000" w:rsidRPr="00EB296B" w:rsidP="00EB296B">
      <w:pPr>
        <w:pStyle w:val="ListBullet"/>
      </w:pPr>
      <w:r w:rsidRPr="00EB296B">
        <w:t>inspect and service the follow</w:t>
      </w:r>
      <w:r w:rsidRPr="00EB296B">
        <w:t>ing three outdoor power equipment pumping systems:</w:t>
      </w:r>
    </w:p>
    <w:p w:rsidR="00000000" w:rsidRPr="00EB296B" w:rsidP="00EB296B">
      <w:pPr>
        <w:pStyle w:val="ListBullet2"/>
      </w:pPr>
      <w:r w:rsidRPr="00EB296B">
        <w:t>centrifugal pumping system</w:t>
      </w:r>
    </w:p>
    <w:p w:rsidR="00000000" w:rsidRPr="00EB296B" w:rsidP="00EB296B">
      <w:pPr>
        <w:pStyle w:val="ListBullet2"/>
      </w:pPr>
      <w:r w:rsidRPr="00EB296B">
        <w:t xml:space="preserve">high pressure piston pumping system </w:t>
      </w:r>
    </w:p>
    <w:p w:rsidR="00000000" w:rsidRPr="00EB296B" w:rsidP="00EB296B">
      <w:pPr>
        <w:pStyle w:val="ListBullet2"/>
      </w:pPr>
      <w:r w:rsidRPr="00EB296B">
        <w:t>diaphragm pumping system.</w:t>
      </w:r>
    </w:p>
    <w:p w:rsidR="00000000" w:rsidRPr="00EB296B" w:rsidP="00EB296B">
      <w:pPr>
        <w:pStyle w:val="AllowPageBreak"/>
      </w:pPr>
    </w:p>
    <w:p w:rsidR="00000000" w:rsidRPr="00EB296B" w:rsidP="00EB296B">
      <w:pPr>
        <w:pStyle w:val="Heading1"/>
      </w:pPr>
      <w:bookmarkStart w:id="3" w:name="O_1128942"/>
      <w:bookmarkEnd w:id="3"/>
      <w:r w:rsidRPr="00EB296B">
        <w:t>Knowledge Evidence</w:t>
      </w:r>
    </w:p>
    <w:p w:rsidR="00000000" w:rsidRPr="00EB296B" w:rsidP="00F24DAF">
      <w:pPr>
        <w:pStyle w:val="BodyText"/>
      </w:pPr>
      <w:r w:rsidRPr="00EB296B">
        <w:t>The candidate must be able to demonstrate knowledge to complete the tasks outlined in the elements, performance criteria and foundation skills of this unit, including knowledge of:</w:t>
      </w:r>
    </w:p>
    <w:p w:rsidR="00000000" w:rsidRPr="00EB296B" w:rsidP="00EB296B">
      <w:pPr>
        <w:pStyle w:val="ListBullet"/>
      </w:pPr>
      <w:r w:rsidRPr="00EB296B">
        <w:t>methods to locate and interpret information required to inspect and servic</w:t>
      </w:r>
      <w:r w:rsidRPr="00EB296B">
        <w:t>e pumping systems, including:</w:t>
      </w:r>
    </w:p>
    <w:p w:rsidR="00000000" w:rsidRPr="00EB296B" w:rsidP="00EB296B">
      <w:pPr>
        <w:pStyle w:val="ListBullet2"/>
      </w:pPr>
      <w:r w:rsidRPr="00EB296B">
        <w:t>information provided by customer and supervisors</w:t>
      </w:r>
    </w:p>
    <w:p w:rsidR="00000000" w:rsidRPr="00EB296B" w:rsidP="00EB296B">
      <w:pPr>
        <w:pStyle w:val="ListBullet2"/>
      </w:pPr>
      <w:r w:rsidRPr="00EB296B">
        <w:t>manufacturer specifications and procedures or equivalent documentation</w:t>
      </w:r>
    </w:p>
    <w:p w:rsidR="00000000" w:rsidRPr="00EB296B" w:rsidP="00EB296B">
      <w:pPr>
        <w:pStyle w:val="ListBullet"/>
      </w:pPr>
      <w:r w:rsidRPr="00EB296B">
        <w:t>workplace procedures required to inspect and service pumping systems, including: </w:t>
      </w:r>
    </w:p>
    <w:p w:rsidR="00000000" w:rsidRPr="00EB296B" w:rsidP="00EB296B">
      <w:pPr>
        <w:pStyle w:val="ListBullet2"/>
      </w:pPr>
      <w:r w:rsidRPr="00EB296B">
        <w:t>establishing servicea</w:t>
      </w:r>
      <w:r w:rsidRPr="00EB296B">
        <w:t>bility of tools and equipment</w:t>
      </w:r>
    </w:p>
    <w:p w:rsidR="00000000" w:rsidRPr="00EB296B" w:rsidP="00EB296B">
      <w:pPr>
        <w:pStyle w:val="ListBullet2"/>
      </w:pPr>
      <w:r w:rsidRPr="00EB296B">
        <w:t>documentation procedures</w:t>
      </w:r>
    </w:p>
    <w:p w:rsidR="00000000" w:rsidRPr="00EB296B" w:rsidP="00EB296B">
      <w:pPr>
        <w:pStyle w:val="ListBullet2"/>
      </w:pPr>
      <w:r w:rsidRPr="00EB296B">
        <w:t>housekeeping procedures, including:</w:t>
      </w:r>
    </w:p>
    <w:p w:rsidR="00000000" w:rsidRPr="00EB296B" w:rsidP="00EB296B">
      <w:pPr>
        <w:pStyle w:val="ListBullet3"/>
      </w:pPr>
      <w:r w:rsidRPr="00EB296B">
        <w:t>examination of tools and equipment</w:t>
      </w:r>
    </w:p>
    <w:p w:rsidR="00000000" w:rsidRPr="00EB296B" w:rsidP="00EB296B">
      <w:pPr>
        <w:pStyle w:val="ListBullet3"/>
      </w:pPr>
      <w:r w:rsidRPr="00EB296B">
        <w:t>storage of equipment</w:t>
      </w:r>
    </w:p>
    <w:p w:rsidR="00000000" w:rsidRPr="00EB296B" w:rsidP="00EB296B">
      <w:pPr>
        <w:pStyle w:val="ListBullet3"/>
      </w:pPr>
      <w:r w:rsidRPr="00EB296B">
        <w:t>identification, tagging and isolation of faulty equipment</w:t>
      </w:r>
    </w:p>
    <w:p w:rsidR="00000000" w:rsidRPr="00EB296B" w:rsidP="00EB296B">
      <w:pPr>
        <w:pStyle w:val="ListBullet3"/>
      </w:pPr>
      <w:r w:rsidRPr="00EB296B">
        <w:t>disposal of excess materials</w:t>
      </w:r>
    </w:p>
    <w:p w:rsidR="00000000" w:rsidRPr="00EB296B" w:rsidP="00EB296B">
      <w:pPr>
        <w:pStyle w:val="ListBullet3"/>
      </w:pPr>
      <w:r w:rsidRPr="00EB296B">
        <w:t>recycling procedures</w:t>
      </w:r>
    </w:p>
    <w:p w:rsidR="00000000" w:rsidRPr="00EB296B" w:rsidP="00EB296B">
      <w:pPr>
        <w:pStyle w:val="ListBullet"/>
      </w:pPr>
      <w:r w:rsidRPr="00EB296B">
        <w:t>work health and safety (WHS) requirements relating to inspecting and servicing pumping systems, including procedures for:</w:t>
      </w:r>
    </w:p>
    <w:p w:rsidR="00000000" w:rsidRPr="00EB296B" w:rsidP="00EB296B">
      <w:pPr>
        <w:pStyle w:val="ListBullet2"/>
      </w:pPr>
      <w:r w:rsidRPr="00EB296B">
        <w:t>safely starting and operating pumping systems</w:t>
      </w:r>
    </w:p>
    <w:p w:rsidR="00000000" w:rsidRPr="00EB296B" w:rsidP="00EB296B">
      <w:pPr>
        <w:pStyle w:val="ListBullet2"/>
      </w:pPr>
      <w:r w:rsidRPr="00EB296B">
        <w:t>working with exhaust fume hazards</w:t>
      </w:r>
    </w:p>
    <w:p w:rsidR="00000000" w:rsidRPr="00EB296B" w:rsidP="00EB296B">
      <w:pPr>
        <w:pStyle w:val="ListBullet2"/>
      </w:pPr>
      <w:r w:rsidRPr="00EB296B">
        <w:t>working with 240 volt equipment</w:t>
      </w:r>
    </w:p>
    <w:p w:rsidR="00000000" w:rsidRPr="00EB296B" w:rsidP="00EB296B">
      <w:pPr>
        <w:pStyle w:val="ListBullet2"/>
      </w:pPr>
      <w:r w:rsidRPr="00EB296B">
        <w:t>identification and function of positive and non-positive displacement pumping systems</w:t>
      </w:r>
    </w:p>
    <w:p w:rsidR="00000000" w:rsidRPr="00EB296B" w:rsidP="00EB296B">
      <w:pPr>
        <w:pStyle w:val="ListBullet"/>
      </w:pPr>
      <w:r w:rsidRPr="00EB296B">
        <w:t>application and purpose of pumping systems, including:</w:t>
      </w:r>
    </w:p>
    <w:p w:rsidR="00000000" w:rsidRPr="00EB296B" w:rsidP="00EB296B">
      <w:pPr>
        <w:pStyle w:val="ListBullet2"/>
      </w:pPr>
      <w:r w:rsidRPr="00EB296B">
        <w:t>centrifugal pumps as used for firefighting, irrigation and water transfer</w:t>
      </w:r>
    </w:p>
    <w:p w:rsidR="00000000" w:rsidRPr="00EB296B" w:rsidP="00EB296B">
      <w:pPr>
        <w:pStyle w:val="ListBullet2"/>
      </w:pPr>
      <w:r w:rsidRPr="00EB296B">
        <w:t>high pressure piston pumps as used in p</w:t>
      </w:r>
      <w:r w:rsidRPr="00EB296B">
        <w:t>ressure cleaners</w:t>
      </w:r>
    </w:p>
    <w:p w:rsidR="00000000" w:rsidRPr="00EB296B" w:rsidP="00EB296B">
      <w:pPr>
        <w:pStyle w:val="ListBullet2"/>
      </w:pPr>
      <w:r w:rsidRPr="00EB296B">
        <w:t>diaphragm pumps as used in orchard spraying</w:t>
      </w:r>
    </w:p>
    <w:p w:rsidR="00000000" w:rsidRPr="00EB296B" w:rsidP="00EB296B">
      <w:pPr>
        <w:pStyle w:val="ListBullet2"/>
      </w:pPr>
      <w:r w:rsidRPr="00EB296B">
        <w:t>drive systems</w:t>
      </w:r>
    </w:p>
    <w:p w:rsidR="00000000" w:rsidRPr="00EB296B" w:rsidP="00EB296B">
      <w:pPr>
        <w:pStyle w:val="ListBullet"/>
      </w:pPr>
      <w:r w:rsidRPr="00EB296B">
        <w:t>types of lubricants and fluids, and their application</w:t>
      </w:r>
    </w:p>
    <w:p w:rsidR="00000000" w:rsidRPr="00EB296B" w:rsidP="00EB296B">
      <w:pPr>
        <w:pStyle w:val="ListBullet"/>
      </w:pPr>
      <w:r w:rsidRPr="00EB296B">
        <w:t>inspection procedures for pumping systems, including:</w:t>
      </w:r>
    </w:p>
    <w:p w:rsidR="00000000" w:rsidRPr="00EB296B" w:rsidP="00EB296B">
      <w:pPr>
        <w:pStyle w:val="ListBullet2"/>
      </w:pPr>
      <w:r w:rsidRPr="00EB296B">
        <w:t>component wear analysis</w:t>
      </w:r>
    </w:p>
    <w:p w:rsidR="00000000" w:rsidRPr="00EB296B" w:rsidP="00EB296B">
      <w:pPr>
        <w:pStyle w:val="ListBullet2"/>
      </w:pPr>
      <w:r w:rsidRPr="00EB296B">
        <w:t>system operation analysis</w:t>
      </w:r>
    </w:p>
    <w:p w:rsidR="00000000" w:rsidRPr="00EB296B" w:rsidP="00EB296B">
      <w:pPr>
        <w:pStyle w:val="ListBullet"/>
      </w:pPr>
      <w:r w:rsidRPr="00EB296B">
        <w:t>service and adjustme</w:t>
      </w:r>
      <w:r w:rsidRPr="00EB296B">
        <w:t>nt procedures for pumping systems, including:</w:t>
      </w:r>
    </w:p>
    <w:p w:rsidR="00000000" w:rsidRPr="00EB296B" w:rsidP="00EB296B">
      <w:pPr>
        <w:pStyle w:val="ListBullet2"/>
      </w:pPr>
      <w:r w:rsidRPr="00EB296B">
        <w:t>filters, strainers and seals</w:t>
      </w:r>
    </w:p>
    <w:p w:rsidR="00000000" w:rsidRPr="00EB296B" w:rsidP="00EB296B">
      <w:pPr>
        <w:pStyle w:val="ListBullet2"/>
      </w:pPr>
      <w:r w:rsidRPr="00EB296B">
        <w:t>hose and pipe fittings and attachments</w:t>
      </w:r>
    </w:p>
    <w:p w:rsidR="00000000" w:rsidRPr="00EB296B" w:rsidP="00EB296B">
      <w:pPr>
        <w:pStyle w:val="ListBullet2"/>
      </w:pPr>
      <w:r w:rsidRPr="00EB296B">
        <w:t>overload devices</w:t>
      </w:r>
    </w:p>
    <w:p w:rsidR="00000000" w:rsidRPr="00EB296B" w:rsidP="00EB296B">
      <w:pPr>
        <w:pStyle w:val="ListBullet2"/>
      </w:pPr>
      <w:r w:rsidRPr="00EB296B">
        <w:t>protective guards and cowlings</w:t>
      </w:r>
    </w:p>
    <w:p w:rsidR="00000000" w:rsidRPr="00EB296B" w:rsidP="00EB296B">
      <w:pPr>
        <w:pStyle w:val="ListBullet2"/>
      </w:pPr>
      <w:r w:rsidRPr="00EB296B">
        <w:t>handle assembly</w:t>
      </w:r>
    </w:p>
    <w:p w:rsidR="00000000" w:rsidRPr="00EB296B" w:rsidP="00EB296B">
      <w:pPr>
        <w:pStyle w:val="ListBullet2"/>
      </w:pPr>
      <w:r w:rsidRPr="00EB296B">
        <w:t>lubrication systems</w:t>
      </w:r>
    </w:p>
    <w:p w:rsidR="00000000" w:rsidRPr="00EB296B" w:rsidP="00EB296B">
      <w:pPr>
        <w:pStyle w:val="ListBullet2"/>
      </w:pPr>
      <w:r w:rsidRPr="00EB296B">
        <w:t>mounting brackets and frame</w:t>
      </w:r>
    </w:p>
    <w:p w:rsidR="00000000" w:rsidRPr="00EB296B" w:rsidP="00EB296B">
      <w:pPr>
        <w:pStyle w:val="ListBullet2"/>
      </w:pPr>
      <w:r w:rsidRPr="00EB296B">
        <w:t>test procedures and pump pressure, suction and discharge</w:t>
      </w:r>
    </w:p>
    <w:p w:rsidR="00000000" w:rsidRPr="00EB296B" w:rsidP="00EB296B">
      <w:pPr>
        <w:pStyle w:val="ListBullet2"/>
      </w:pPr>
      <w:r w:rsidRPr="00EB296B">
        <w:t xml:space="preserve">drive systems </w:t>
      </w:r>
    </w:p>
    <w:p w:rsidR="00000000" w:rsidRPr="00EB296B" w:rsidP="00EB296B">
      <w:pPr>
        <w:pStyle w:val="ListBullet2"/>
      </w:pPr>
      <w:r w:rsidRPr="00EB296B">
        <w:t>replacing service items</w:t>
      </w:r>
    </w:p>
    <w:p w:rsidR="00000000" w:rsidRPr="00EB296B" w:rsidP="00EB296B">
      <w:pPr>
        <w:pStyle w:val="ListBullet2"/>
      </w:pPr>
      <w:r w:rsidRPr="00EB296B">
        <w:t>inspecting hoses fittings and mountings</w:t>
      </w:r>
    </w:p>
    <w:p w:rsidR="00000000" w:rsidRPr="00EB296B" w:rsidP="00EB296B">
      <w:pPr>
        <w:pStyle w:val="ListBullet"/>
      </w:pPr>
      <w:r w:rsidRPr="00EB296B">
        <w:t>post-service testing and re-testing procedures for outdoor power equipment pumping systems.</w:t>
      </w:r>
    </w:p>
    <w:p w:rsidR="00000000" w:rsidRPr="00EB296B" w:rsidP="00EB296B">
      <w:pPr>
        <w:pStyle w:val="AllowPageBreak"/>
      </w:pPr>
    </w:p>
    <w:p w:rsidR="00000000" w:rsidRPr="00EB296B" w:rsidP="00EB296B">
      <w:pPr>
        <w:pStyle w:val="Heading1"/>
      </w:pPr>
      <w:bookmarkStart w:id="4" w:name="O_1128941"/>
      <w:bookmarkEnd w:id="4"/>
      <w:r w:rsidRPr="00EB296B">
        <w:t>Assessme</w:t>
      </w:r>
      <w:r w:rsidRPr="00EB296B">
        <w:t>nt Conditions</w:t>
      </w:r>
    </w:p>
    <w:p w:rsidR="00000000" w:rsidRPr="00EB296B" w:rsidP="00F24DAF">
      <w:pPr>
        <w:pStyle w:val="BodyText"/>
      </w:pPr>
      <w:r w:rsidRPr="00EB296B">
        <w:t>Competency is to be assessed in the workplace or a simulated environment that accurately reflects performance in a real workplace setting.</w:t>
      </w:r>
    </w:p>
    <w:p w:rsidR="00000000" w:rsidRPr="00EB296B" w:rsidP="00F24DAF">
      <w:pPr>
        <w:pStyle w:val="BodyText"/>
      </w:pPr>
      <w:r w:rsidRPr="00EB296B">
        <w:t>Assessment must include direct observation of tasks.</w:t>
      </w:r>
    </w:p>
    <w:p w:rsidR="00000000" w:rsidRPr="00EB296B" w:rsidP="00F24DAF">
      <w:pPr>
        <w:pStyle w:val="BodyText"/>
      </w:pPr>
      <w:r w:rsidRPr="00EB296B">
        <w:t>Where assessment of competency includes third-part</w:t>
      </w:r>
      <w:r w:rsidRPr="00EB296B">
        <w:t>y evidence, individuals must provide evidence that links them to the pumping systems that they have worked on, e.g. repair orders.</w:t>
      </w:r>
    </w:p>
    <w:p w:rsidR="00000000" w:rsidRPr="00EB296B" w:rsidP="00F24DAF">
      <w:pPr>
        <w:pStyle w:val="BodyText"/>
      </w:pPr>
      <w:r w:rsidRPr="00EB296B">
        <w:t>Assessors must verify performance evidence through questioning on skills and knowledge to ensure correct interpretation and application.</w:t>
      </w:r>
    </w:p>
    <w:p w:rsidR="00000000" w:rsidRPr="00EB296B" w:rsidP="00F24DAF">
      <w:pPr>
        <w:pStyle w:val="BodyText"/>
      </w:pPr>
      <w:r w:rsidRPr="00EB296B">
        <w:t>The following resources must be made available:</w:t>
      </w:r>
    </w:p>
    <w:p w:rsidR="00000000" w:rsidRPr="00EB296B" w:rsidP="00EB296B">
      <w:pPr>
        <w:pStyle w:val="ListBullet"/>
      </w:pPr>
      <w:r w:rsidRPr="00EB296B">
        <w:t>outdoor power equipment repair workplace or simulated workplace</w:t>
      </w:r>
    </w:p>
    <w:p w:rsidR="00000000" w:rsidRPr="00EB296B" w:rsidP="00EB296B">
      <w:pPr>
        <w:pStyle w:val="ListBullet"/>
      </w:pPr>
      <w:r w:rsidRPr="00EB296B">
        <w:t>workpl</w:t>
      </w:r>
      <w:r w:rsidRPr="00EB296B">
        <w:t>ace instructions</w:t>
      </w:r>
    </w:p>
    <w:p w:rsidR="00000000" w:rsidRPr="00EB296B" w:rsidP="00EB296B">
      <w:pPr>
        <w:pStyle w:val="ListBullet"/>
      </w:pPr>
      <w:r w:rsidRPr="00EB296B">
        <w:t>manufacturer specifications for pumping systems</w:t>
      </w:r>
    </w:p>
    <w:p w:rsidR="00000000" w:rsidRPr="00EB296B" w:rsidP="00EB296B">
      <w:pPr>
        <w:pStyle w:val="ListBullet"/>
      </w:pPr>
      <w:r w:rsidRPr="00EB296B">
        <w:t xml:space="preserve">three pumping systems specified in the performance evidence and requiring servicing </w:t>
      </w:r>
    </w:p>
    <w:p w:rsidR="00000000" w:rsidRPr="00EB296B" w:rsidP="00EB296B">
      <w:pPr>
        <w:pStyle w:val="ListBullet"/>
      </w:pPr>
      <w:r w:rsidRPr="00EB296B">
        <w:t>tools, equipment and materials appropriate for inspecting and servicing pumping systems.</w:t>
      </w:r>
    </w:p>
    <w:p w:rsidR="00000000" w:rsidRPr="00EB296B" w:rsidP="00EB296B">
      <w:pPr>
        <w:pStyle w:val="List"/>
      </w:pPr>
    </w:p>
    <w:p w:rsidR="00000000" w:rsidRPr="00EB296B" w:rsidP="00F24DAF">
      <w:pPr>
        <w:pStyle w:val="BodyText"/>
      </w:pPr>
      <w:r w:rsidRPr="00EB296B">
        <w:t>Assessors of thi</w:t>
      </w:r>
      <w:r w:rsidRPr="00EB296B">
        <w:t>s unit must satisfy the requirements for assessors in applicable vocational education and training legislation, frameworks and/or standards.</w:t>
      </w:r>
    </w:p>
    <w:p w:rsidR="00000000" w:rsidRPr="00EB296B" w:rsidP="00EB296B">
      <w:pPr>
        <w:pStyle w:val="Heading1"/>
      </w:pPr>
      <w:bookmarkStart w:id="5" w:name="O_1128939"/>
      <w:bookmarkEnd w:id="5"/>
      <w:r w:rsidRPr="00EB296B">
        <w:t>Links</w:t>
      </w:r>
    </w:p>
    <w:p w:rsidR="00000000" w:rsidRPr="00EB296B" w:rsidP="00F24DAF">
      <w:pPr>
        <w:pStyle w:val="BodyText"/>
      </w:pPr>
      <w:r w:rsidRPr="00EB29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2271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B296B" w:rsidP="00EB296B"/>
    <w:sectPr w:rsidSect="00EB29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9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96B" w:rsidRPr="00F24DAF" w:rsidP="00F24D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9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DAF" w:rsidP="00EB29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4DAF" w:rsidP="00EB29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4DAF" w:rsidP="00EB29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9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D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96B" w:rsidRPr="00F24DAF" w:rsidP="00F24D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9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DAF" w:rsidRPr="002D2AF8" w:rsidP="00EB29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AURPTA110 Inspect and service pumping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F24DAF" w:rsidP="00EB29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AEF9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92BD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B2D4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9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9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9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9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9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9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9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9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9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9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9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96B"/>
  </w:style>
  <w:style w:type="character" w:customStyle="1" w:styleId="Heading1Char">
    <w:name w:val="Heading 1 Char"/>
    <w:basedOn w:val="DefaultParagraphFont"/>
    <w:link w:val="Heading1"/>
    <w:rsid w:val="00EB29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9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9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29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296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296B"/>
    <w:rPr>
      <w:b/>
      <w:spacing w:val="0"/>
    </w:rPr>
  </w:style>
  <w:style w:type="paragraph" w:styleId="ListBullet2">
    <w:name w:val="List Bullet 2"/>
    <w:basedOn w:val="List2"/>
    <w:rsid w:val="00EB296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29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29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B296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B29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9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9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9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9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9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9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9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9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9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9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9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9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9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9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9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9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9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29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29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9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9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29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9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9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9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9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9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9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9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9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296B"/>
    <w:rPr>
      <w:i/>
    </w:rPr>
  </w:style>
  <w:style w:type="paragraph" w:styleId="Caption">
    <w:name w:val="caption"/>
    <w:basedOn w:val="BodyText"/>
    <w:next w:val="Normal"/>
    <w:qFormat/>
    <w:rsid w:val="00EB29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9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9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96B"/>
  </w:style>
  <w:style w:type="paragraph" w:styleId="TableofFigures">
    <w:name w:val="table of figures"/>
    <w:basedOn w:val="Normal"/>
    <w:next w:val="Normal"/>
    <w:semiHidden/>
    <w:rsid w:val="00EB29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96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B296B"/>
    <w:rPr>
      <w:rFonts w:ascii="Wingdings" w:hAnsi="Wingdings"/>
    </w:rPr>
  </w:style>
  <w:style w:type="paragraph" w:customStyle="1" w:styleId="TableHeading">
    <w:name w:val="Table Heading"/>
    <w:basedOn w:val="HeadingBase"/>
    <w:rsid w:val="00EB29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296B"/>
    <w:rPr>
      <w:color w:val="0033CC"/>
      <w:u w:val="none"/>
    </w:rPr>
  </w:style>
  <w:style w:type="paragraph" w:customStyle="1" w:styleId="BodyTextRight">
    <w:name w:val="Body Text Right"/>
    <w:basedOn w:val="BodyText"/>
    <w:rsid w:val="00EB29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9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96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9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9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9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96B"/>
    <w:rPr>
      <w:sz w:val="32"/>
    </w:rPr>
  </w:style>
  <w:style w:type="paragraph" w:customStyle="1" w:styleId="HeadingProcedure">
    <w:name w:val="Heading Procedure"/>
    <w:basedOn w:val="HeadingBase"/>
    <w:next w:val="Normal"/>
    <w:rsid w:val="00EB29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96B"/>
    <w:pPr>
      <w:spacing w:before="60" w:after="60"/>
    </w:pPr>
  </w:style>
  <w:style w:type="paragraph" w:styleId="ListContinue">
    <w:name w:val="List Continue"/>
    <w:basedOn w:val="List"/>
    <w:rsid w:val="00EB296B"/>
    <w:pPr>
      <w:ind w:firstLine="0"/>
    </w:pPr>
  </w:style>
  <w:style w:type="paragraph" w:customStyle="1" w:styleId="ListNote">
    <w:name w:val="List Note"/>
    <w:basedOn w:val="List"/>
    <w:rsid w:val="00EB29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9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9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96B"/>
    <w:rPr>
      <w:rFonts w:ascii="Courier New" w:hAnsi="Courier New"/>
    </w:rPr>
  </w:style>
  <w:style w:type="paragraph" w:customStyle="1" w:styleId="NoteBullet">
    <w:name w:val="Note Bullet"/>
    <w:basedOn w:val="Note"/>
    <w:rsid w:val="00EB29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9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9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9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9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B29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9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96B"/>
    <w:rPr>
      <w:b/>
      <w:smallCaps/>
    </w:rPr>
  </w:style>
  <w:style w:type="paragraph" w:customStyle="1" w:styleId="TableListNumber">
    <w:name w:val="Table List Number"/>
    <w:basedOn w:val="ListNumber"/>
    <w:rsid w:val="00EB29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9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96B"/>
    <w:pPr>
      <w:numPr>
        <w:numId w:val="10"/>
      </w:numPr>
    </w:pPr>
  </w:style>
  <w:style w:type="paragraph" w:customStyle="1" w:styleId="ListAlpha2">
    <w:name w:val="List Alpha 2"/>
    <w:basedOn w:val="List2"/>
    <w:rsid w:val="00EB296B"/>
    <w:pPr>
      <w:numPr>
        <w:numId w:val="9"/>
      </w:numPr>
    </w:pPr>
  </w:style>
  <w:style w:type="paragraph" w:styleId="List2">
    <w:name w:val="List 2"/>
    <w:basedOn w:val="BodyText"/>
    <w:rsid w:val="00EB29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9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9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96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B296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B296B"/>
    <w:pPr>
      <w:numPr>
        <w:numId w:val="5"/>
      </w:numPr>
    </w:pPr>
  </w:style>
  <w:style w:type="paragraph" w:styleId="ListContinue2">
    <w:name w:val="List Continue 2"/>
    <w:basedOn w:val="List2"/>
    <w:rsid w:val="00EB296B"/>
    <w:pPr>
      <w:ind w:firstLine="0"/>
    </w:pPr>
  </w:style>
  <w:style w:type="paragraph" w:styleId="ListContinue3">
    <w:name w:val="List Continue 3"/>
    <w:basedOn w:val="List3"/>
    <w:rsid w:val="00EB296B"/>
    <w:pPr>
      <w:ind w:left="1021" w:firstLine="0"/>
    </w:pPr>
  </w:style>
  <w:style w:type="paragraph" w:styleId="ListContinue4">
    <w:name w:val="List Continue 4"/>
    <w:basedOn w:val="List4"/>
    <w:rsid w:val="00EB296B"/>
    <w:pPr>
      <w:ind w:firstLine="0"/>
    </w:pPr>
  </w:style>
  <w:style w:type="paragraph" w:styleId="ListContinue5">
    <w:name w:val="List Continue 5"/>
    <w:basedOn w:val="List5"/>
    <w:rsid w:val="00EB296B"/>
    <w:pPr>
      <w:ind w:firstLine="0"/>
    </w:pPr>
  </w:style>
  <w:style w:type="paragraph" w:styleId="ListNumber3">
    <w:name w:val="List Number 3"/>
    <w:basedOn w:val="List3"/>
    <w:rsid w:val="00EB296B"/>
    <w:pPr>
      <w:numPr>
        <w:numId w:val="6"/>
      </w:numPr>
    </w:pPr>
  </w:style>
  <w:style w:type="paragraph" w:styleId="ListNumber4">
    <w:name w:val="List Number 4"/>
    <w:basedOn w:val="List4"/>
    <w:rsid w:val="00EB296B"/>
    <w:pPr>
      <w:numPr>
        <w:numId w:val="7"/>
      </w:numPr>
    </w:pPr>
  </w:style>
  <w:style w:type="paragraph" w:styleId="ListNumber5">
    <w:name w:val="List Number 5"/>
    <w:basedOn w:val="List5"/>
    <w:rsid w:val="00EB296B"/>
    <w:pPr>
      <w:numPr>
        <w:numId w:val="8"/>
      </w:numPr>
    </w:pPr>
  </w:style>
  <w:style w:type="paragraph" w:styleId="BlockText">
    <w:name w:val="Block Text"/>
    <w:basedOn w:val="Normal"/>
    <w:rsid w:val="00EB29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9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96B"/>
    <w:rPr>
      <w:sz w:val="16"/>
      <w:vertAlign w:val="superscript"/>
    </w:rPr>
  </w:style>
  <w:style w:type="character" w:customStyle="1" w:styleId="Symbols">
    <w:name w:val="Symbols"/>
    <w:basedOn w:val="DefaultParagraphFont"/>
    <w:rsid w:val="00EB296B"/>
    <w:rPr>
      <w:rFonts w:ascii="Symbol" w:hAnsi="Symbol"/>
    </w:rPr>
  </w:style>
  <w:style w:type="character" w:customStyle="1" w:styleId="MenuOptions">
    <w:name w:val="Menu Options"/>
    <w:basedOn w:val="DefaultParagraphFont"/>
    <w:rsid w:val="00EB29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96B"/>
    <w:rPr>
      <w:b/>
    </w:rPr>
  </w:style>
  <w:style w:type="character" w:customStyle="1" w:styleId="Underlined">
    <w:name w:val="Underlined"/>
    <w:basedOn w:val="DefaultParagraphFont"/>
    <w:rsid w:val="00EB296B"/>
    <w:rPr>
      <w:u w:val="single"/>
    </w:rPr>
  </w:style>
  <w:style w:type="paragraph" w:customStyle="1" w:styleId="TableBodyTextRight">
    <w:name w:val="Table Body Text Right"/>
    <w:basedOn w:val="TableBodyText"/>
    <w:rsid w:val="00EB29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96B"/>
    <w:rPr>
      <w:sz w:val="18"/>
    </w:rPr>
  </w:style>
  <w:style w:type="paragraph" w:customStyle="1" w:styleId="BodySmallRight">
    <w:name w:val="Body Small Right"/>
    <w:basedOn w:val="BodyTextRight"/>
    <w:rsid w:val="00EB296B"/>
    <w:rPr>
      <w:sz w:val="18"/>
      <w:szCs w:val="18"/>
    </w:rPr>
  </w:style>
  <w:style w:type="paragraph" w:customStyle="1" w:styleId="MarginEdition">
    <w:name w:val="Margin Edition"/>
    <w:basedOn w:val="MarginNote"/>
    <w:rsid w:val="00EB29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96B"/>
    <w:rPr>
      <w:sz w:val="2"/>
      <w:szCs w:val="2"/>
    </w:rPr>
  </w:style>
  <w:style w:type="character" w:customStyle="1" w:styleId="Small">
    <w:name w:val="Small"/>
    <w:basedOn w:val="DefaultParagraphFont"/>
    <w:rsid w:val="00EB296B"/>
    <w:rPr>
      <w:sz w:val="16"/>
    </w:rPr>
  </w:style>
  <w:style w:type="paragraph" w:customStyle="1" w:styleId="WideTable">
    <w:name w:val="Wide Table"/>
    <w:basedOn w:val="Normal"/>
    <w:rsid w:val="00EB29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96B"/>
  </w:style>
  <w:style w:type="paragraph" w:styleId="Quote">
    <w:name w:val="Quote"/>
    <w:basedOn w:val="Heading1"/>
    <w:link w:val="QuoteChar"/>
    <w:qFormat/>
    <w:rsid w:val="00EB29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9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96B"/>
    <w:pPr>
      <w:pageBreakBefore/>
    </w:pPr>
  </w:style>
  <w:style w:type="paragraph" w:customStyle="1" w:styleId="Border">
    <w:name w:val="Border"/>
    <w:basedOn w:val="Normal"/>
    <w:qFormat/>
    <w:rsid w:val="00EB29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9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9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9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9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9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9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9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9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96B"/>
    <w:rPr>
      <w:u w:val="single"/>
    </w:rPr>
  </w:style>
  <w:style w:type="character" w:customStyle="1" w:styleId="BoldandItalics">
    <w:name w:val="Bold and Italics"/>
    <w:qFormat/>
    <w:rsid w:val="00EB296B"/>
    <w:rPr>
      <w:b/>
      <w:i/>
      <w:u w:val="none"/>
    </w:rPr>
  </w:style>
  <w:style w:type="paragraph" w:styleId="BalloonText">
    <w:name w:val="Balloon Text"/>
    <w:basedOn w:val="Normal"/>
    <w:link w:val="BalloonTextChar"/>
    <w:rsid w:val="00EB2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9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9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9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9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9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96B"/>
    <w:pPr>
      <w:spacing w:before="0" w:after="0"/>
    </w:pPr>
  </w:style>
  <w:style w:type="paragraph" w:customStyle="1" w:styleId="BodyTextBold">
    <w:name w:val="Body Text Bold"/>
    <w:basedOn w:val="BodyText"/>
    <w:qFormat/>
    <w:rsid w:val="00EB296B"/>
    <w:rPr>
      <w:b/>
    </w:rPr>
  </w:style>
  <w:style w:type="character" w:styleId="Hyperlink">
    <w:name w:val="Hyperlink"/>
    <w:basedOn w:val="DefaultParagraphFont"/>
    <w:uiPriority w:val="99"/>
    <w:unhideWhenUsed/>
    <w:rsid w:val="00F24D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3526</Characters>
  <Application>Microsoft Office Word</Application>
  <DocSecurity>0</DocSecurity>
  <Lines>92</Lines>
  <Paragraphs>80</Paragraphs>
  <ScaleCrop>false</ScaleCrop>
  <Company>Author-it Software Corporation Ltd.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AURPTA110 Inspect and service pumping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2022-06-23T06:43:00Z</dcterms:created>
  <dcterms:modified xsi:type="dcterms:W3CDTF">2022-06-23T06:43:00Z</dcterms:modified>
</cp:coreProperties>
</file>