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109" w:rsidP="00D90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AURPTA010 Inspect and service pumping systems</w:t>
      </w:r>
      <w:r>
        <w:fldChar w:fldCharType="end"/>
      </w:r>
    </w:p>
    <w:p w:rsidR="00D90109" w:rsidP="00D90109">
      <w:pPr>
        <w:pStyle w:val="Version"/>
        <w:sectPr w:rsidSect="003E4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F5C" w:rsidP="003E4F5C">
      <w:pPr>
        <w:pStyle w:val="SuperHeading"/>
      </w:pPr>
      <w:r w:rsidRPr="003E4F5C">
        <w:t>Assessment Requirements for AURPTA010 Inspect and service pumping systems</w:t>
      </w:r>
    </w:p>
    <w:p w:rsidR="00000000" w:rsidRPr="003E4F5C" w:rsidP="003E4F5C">
      <w:pPr>
        <w:pStyle w:val="Heading1"/>
      </w:pPr>
      <w:bookmarkStart w:id="1" w:name="O_776062"/>
      <w:bookmarkEnd w:id="1"/>
      <w:r w:rsidRPr="003E4F5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901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F5C" w:rsidP="003E4F5C">
            <w:pPr>
              <w:pStyle w:val="BodyText"/>
            </w:pPr>
            <w:r w:rsidRPr="003E4F5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F5C">
            <w:pPr>
              <w:pStyle w:val="BodyText"/>
              <w:rPr>
                <w:lang w:val="en-NZ"/>
              </w:rPr>
            </w:pPr>
            <w:r w:rsidRPr="003E4F5C">
              <w:rPr>
                <w:rStyle w:val="SpecialBold"/>
              </w:rPr>
              <w:t>Comment</w:t>
            </w:r>
          </w:p>
        </w:tc>
      </w:tr>
      <w:tr w:rsidTr="00D901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F5C">
            <w:pPr>
              <w:pStyle w:val="BodyText"/>
              <w:rPr>
                <w:lang w:val="en-NZ"/>
              </w:rPr>
            </w:pPr>
            <w:r w:rsidRPr="003E4F5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F5C" w:rsidP="003E4F5C">
            <w:pPr>
              <w:pStyle w:val="BodyText"/>
            </w:pPr>
            <w:r w:rsidRPr="003E4F5C">
              <w:t>New unit of competency.</w:t>
            </w:r>
          </w:p>
        </w:tc>
      </w:tr>
    </w:tbl>
    <w:p w:rsidR="00000000" w:rsidRPr="003E4F5C" w:rsidP="003E4F5C">
      <w:pPr>
        <w:pStyle w:val="BodyText"/>
      </w:pPr>
    </w:p>
    <w:p w:rsidR="00000000" w:rsidRPr="003E4F5C" w:rsidP="003E4F5C">
      <w:pPr>
        <w:pStyle w:val="AllowPageBreak"/>
      </w:pPr>
    </w:p>
    <w:p w:rsidR="00000000" w:rsidRPr="003E4F5C" w:rsidP="003E4F5C">
      <w:pPr>
        <w:pStyle w:val="Heading1"/>
      </w:pPr>
      <w:bookmarkStart w:id="2" w:name="O_776063"/>
      <w:bookmarkEnd w:id="2"/>
      <w:r w:rsidRPr="003E4F5C">
        <w:t>Performance Evidence</w:t>
      </w:r>
    </w:p>
    <w:p w:rsidR="00000000" w:rsidRPr="003E4F5C" w:rsidP="00D90109">
      <w:pPr>
        <w:pStyle w:val="BodyText"/>
      </w:pPr>
      <w:r w:rsidRPr="003E4F5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E4F5C" w:rsidP="003E4F5C">
      <w:pPr>
        <w:pStyle w:val="ListBullet"/>
      </w:pPr>
      <w:r w:rsidRPr="003E4F5C">
        <w:t>inspect and service the following</w:t>
      </w:r>
      <w:r w:rsidRPr="003E4F5C">
        <w:t xml:space="preserve"> three outdoor power equipment pumping systems:</w:t>
      </w:r>
    </w:p>
    <w:p w:rsidR="00000000" w:rsidRPr="003E4F5C" w:rsidP="003E4F5C">
      <w:pPr>
        <w:pStyle w:val="ListBullet2"/>
      </w:pPr>
      <w:r w:rsidRPr="003E4F5C">
        <w:t>centrifugal pumping system</w:t>
      </w:r>
    </w:p>
    <w:p w:rsidR="00000000" w:rsidRPr="003E4F5C" w:rsidP="003E4F5C">
      <w:pPr>
        <w:pStyle w:val="ListBullet2"/>
      </w:pPr>
      <w:r w:rsidRPr="003E4F5C">
        <w:t xml:space="preserve">high pressure piston pumping system </w:t>
      </w:r>
    </w:p>
    <w:p w:rsidR="00000000" w:rsidRPr="003E4F5C" w:rsidP="003E4F5C">
      <w:pPr>
        <w:pStyle w:val="ListBullet2"/>
      </w:pPr>
      <w:r w:rsidRPr="003E4F5C">
        <w:t>diaphragm pumping system.</w:t>
      </w:r>
    </w:p>
    <w:p w:rsidR="00000000" w:rsidRPr="003E4F5C" w:rsidP="003E4F5C">
      <w:pPr>
        <w:pStyle w:val="AllowPageBreak"/>
      </w:pPr>
    </w:p>
    <w:p w:rsidR="00000000" w:rsidRPr="003E4F5C" w:rsidP="003E4F5C">
      <w:pPr>
        <w:pStyle w:val="Heading1"/>
      </w:pPr>
      <w:bookmarkStart w:id="3" w:name="O_776064"/>
      <w:bookmarkEnd w:id="3"/>
      <w:r w:rsidRPr="003E4F5C">
        <w:t>Knowledge Evidence</w:t>
      </w:r>
    </w:p>
    <w:p w:rsidR="00000000" w:rsidRPr="003E4F5C" w:rsidP="00D90109">
      <w:pPr>
        <w:pStyle w:val="BodyText"/>
      </w:pPr>
      <w:r w:rsidRPr="003E4F5C">
        <w:t>Individuals must be able to demonstrate knowledge of:</w:t>
      </w:r>
    </w:p>
    <w:p w:rsidR="00000000" w:rsidRPr="003E4F5C" w:rsidP="003E4F5C">
      <w:pPr>
        <w:pStyle w:val="ListBullet"/>
      </w:pPr>
      <w:r w:rsidRPr="003E4F5C">
        <w:t xml:space="preserve">work health and safety </w:t>
      </w:r>
      <w:r w:rsidRPr="003E4F5C">
        <w:t>(WHS) and occupational health and safety (OHS) requirements relating to inspecting and servicing pumping systems, including procedures for:</w:t>
      </w:r>
    </w:p>
    <w:p w:rsidR="00000000" w:rsidRPr="003E4F5C" w:rsidP="003E4F5C">
      <w:pPr>
        <w:pStyle w:val="ListBullet2"/>
      </w:pPr>
      <w:r w:rsidRPr="003E4F5C">
        <w:t>safely starting and operating pumping systems</w:t>
      </w:r>
    </w:p>
    <w:p w:rsidR="00000000" w:rsidRPr="003E4F5C" w:rsidP="003E4F5C">
      <w:pPr>
        <w:pStyle w:val="ListBullet2"/>
      </w:pPr>
      <w:r w:rsidRPr="003E4F5C">
        <w:t>working with exhaust fume hazards</w:t>
      </w:r>
    </w:p>
    <w:p w:rsidR="00000000" w:rsidRPr="003E4F5C" w:rsidP="003E4F5C">
      <w:pPr>
        <w:pStyle w:val="ListBullet2"/>
      </w:pPr>
      <w:r w:rsidRPr="003E4F5C">
        <w:t>working with 240 volt equipment</w:t>
      </w:r>
    </w:p>
    <w:p w:rsidR="00000000" w:rsidRPr="003E4F5C" w:rsidP="003E4F5C">
      <w:pPr>
        <w:pStyle w:val="ListBullet"/>
      </w:pPr>
      <w:r w:rsidRPr="003E4F5C">
        <w:t>id</w:t>
      </w:r>
      <w:r w:rsidRPr="003E4F5C">
        <w:t>entification and function of positive and non-positive displacement pumping systems</w:t>
      </w:r>
    </w:p>
    <w:p w:rsidR="00000000" w:rsidRPr="003E4F5C" w:rsidP="003E4F5C">
      <w:pPr>
        <w:pStyle w:val="ListBullet"/>
      </w:pPr>
      <w:r w:rsidRPr="003E4F5C">
        <w:t>application and purpose of pumping systems, including:</w:t>
      </w:r>
    </w:p>
    <w:p w:rsidR="00000000" w:rsidRPr="003E4F5C" w:rsidP="003E4F5C">
      <w:pPr>
        <w:pStyle w:val="ListBullet2"/>
      </w:pPr>
      <w:r w:rsidRPr="003E4F5C">
        <w:t>centrifugal pumps as used for firefighting, irrigation and water transfer</w:t>
      </w:r>
    </w:p>
    <w:p w:rsidR="00000000" w:rsidRPr="003E4F5C" w:rsidP="003E4F5C">
      <w:pPr>
        <w:pStyle w:val="ListBullet2"/>
      </w:pPr>
      <w:r w:rsidRPr="003E4F5C">
        <w:t>high pressure piston pumps as used in pres</w:t>
      </w:r>
      <w:r w:rsidRPr="003E4F5C">
        <w:t>sure cleaners</w:t>
      </w:r>
    </w:p>
    <w:p w:rsidR="00000000" w:rsidRPr="003E4F5C" w:rsidP="003E4F5C">
      <w:pPr>
        <w:pStyle w:val="ListBullet2"/>
      </w:pPr>
      <w:r w:rsidRPr="003E4F5C">
        <w:t>diaphragm pumps as used in orchard spraying</w:t>
      </w:r>
    </w:p>
    <w:p w:rsidR="00000000" w:rsidRPr="003E4F5C" w:rsidP="003E4F5C">
      <w:pPr>
        <w:pStyle w:val="ListBullet2"/>
      </w:pPr>
      <w:r w:rsidRPr="003E4F5C">
        <w:t>drive systems</w:t>
      </w:r>
    </w:p>
    <w:p w:rsidR="00000000" w:rsidRPr="003E4F5C" w:rsidP="003E4F5C">
      <w:pPr>
        <w:pStyle w:val="ListBullet"/>
      </w:pPr>
      <w:r w:rsidRPr="003E4F5C">
        <w:t>types of lubricants and fluids, and their application</w:t>
      </w:r>
    </w:p>
    <w:p w:rsidR="00000000" w:rsidRPr="003E4F5C" w:rsidP="003E4F5C">
      <w:pPr>
        <w:pStyle w:val="ListBullet"/>
      </w:pPr>
      <w:r w:rsidRPr="003E4F5C">
        <w:t>inspection procedures for pumping systems, including:</w:t>
      </w:r>
    </w:p>
    <w:p w:rsidR="00000000" w:rsidRPr="003E4F5C" w:rsidP="003E4F5C">
      <w:pPr>
        <w:pStyle w:val="ListBullet2"/>
      </w:pPr>
      <w:r w:rsidRPr="003E4F5C">
        <w:t>component wear analysis</w:t>
      </w:r>
    </w:p>
    <w:p w:rsidR="00000000" w:rsidRPr="003E4F5C" w:rsidP="003E4F5C">
      <w:pPr>
        <w:pStyle w:val="ListBullet2"/>
      </w:pPr>
      <w:r w:rsidRPr="003E4F5C">
        <w:t>system operation analysis</w:t>
      </w:r>
    </w:p>
    <w:p w:rsidR="00000000" w:rsidRPr="003E4F5C" w:rsidP="003E4F5C">
      <w:pPr>
        <w:pStyle w:val="ListBullet"/>
      </w:pPr>
      <w:r w:rsidRPr="003E4F5C">
        <w:t>service and adjustment procedures for pumping systems, including:</w:t>
      </w:r>
    </w:p>
    <w:p w:rsidR="00000000" w:rsidRPr="003E4F5C" w:rsidP="003E4F5C">
      <w:pPr>
        <w:pStyle w:val="ListBullet2"/>
      </w:pPr>
      <w:r w:rsidRPr="003E4F5C">
        <w:t>filters and strainers</w:t>
      </w:r>
    </w:p>
    <w:p w:rsidR="00000000" w:rsidRPr="003E4F5C" w:rsidP="003E4F5C">
      <w:pPr>
        <w:pStyle w:val="ListBullet2"/>
      </w:pPr>
      <w:r w:rsidRPr="003E4F5C">
        <w:t>hose and pipe fittings and attachments</w:t>
      </w:r>
    </w:p>
    <w:p w:rsidR="00000000" w:rsidRPr="003E4F5C" w:rsidP="003E4F5C">
      <w:pPr>
        <w:pStyle w:val="ListBullet2"/>
      </w:pPr>
      <w:r w:rsidRPr="003E4F5C">
        <w:t>overload devices</w:t>
      </w:r>
    </w:p>
    <w:p w:rsidR="00000000" w:rsidRPr="003E4F5C" w:rsidP="003E4F5C">
      <w:pPr>
        <w:pStyle w:val="ListBullet2"/>
      </w:pPr>
      <w:r w:rsidRPr="003E4F5C">
        <w:t>protective guards and cowlings</w:t>
      </w:r>
    </w:p>
    <w:p w:rsidR="00000000" w:rsidRPr="003E4F5C" w:rsidP="003E4F5C">
      <w:pPr>
        <w:pStyle w:val="ListBullet2"/>
      </w:pPr>
      <w:r w:rsidRPr="003E4F5C">
        <w:t>handle assembly</w:t>
      </w:r>
    </w:p>
    <w:p w:rsidR="00000000" w:rsidRPr="003E4F5C" w:rsidP="003E4F5C">
      <w:pPr>
        <w:pStyle w:val="ListBullet2"/>
      </w:pPr>
      <w:r w:rsidRPr="003E4F5C">
        <w:t>lubrication systems</w:t>
      </w:r>
    </w:p>
    <w:p w:rsidR="00000000" w:rsidRPr="003E4F5C" w:rsidP="003E4F5C">
      <w:pPr>
        <w:pStyle w:val="ListBullet2"/>
      </w:pPr>
      <w:r w:rsidRPr="003E4F5C">
        <w:t>mounting brackets and frame</w:t>
      </w:r>
    </w:p>
    <w:p w:rsidR="00000000" w:rsidRPr="003E4F5C" w:rsidP="003E4F5C">
      <w:pPr>
        <w:pStyle w:val="ListBullet2"/>
      </w:pPr>
      <w:r w:rsidRPr="003E4F5C">
        <w:t xml:space="preserve">test procedures </w:t>
      </w:r>
      <w:r w:rsidRPr="003E4F5C">
        <w:t>and pump performance</w:t>
      </w:r>
    </w:p>
    <w:p w:rsidR="00000000" w:rsidRPr="003E4F5C" w:rsidP="003E4F5C">
      <w:pPr>
        <w:pStyle w:val="ListBullet2"/>
      </w:pPr>
      <w:r w:rsidRPr="003E4F5C">
        <w:t xml:space="preserve">drive systems </w:t>
      </w:r>
    </w:p>
    <w:p w:rsidR="00000000" w:rsidRPr="003E4F5C" w:rsidP="003E4F5C">
      <w:pPr>
        <w:pStyle w:val="ListBullet"/>
      </w:pPr>
      <w:r w:rsidRPr="003E4F5C">
        <w:t>post-service testing procedures for outdoor power equipment pumping systems.</w:t>
      </w:r>
    </w:p>
    <w:p w:rsidR="00000000" w:rsidRPr="003E4F5C" w:rsidP="003E4F5C">
      <w:pPr>
        <w:pStyle w:val="AllowPageBreak"/>
      </w:pPr>
    </w:p>
    <w:p w:rsidR="00000000" w:rsidRPr="003E4F5C" w:rsidP="003E4F5C">
      <w:pPr>
        <w:pStyle w:val="Heading1"/>
      </w:pPr>
      <w:bookmarkStart w:id="4" w:name="O_776065"/>
      <w:bookmarkEnd w:id="4"/>
      <w:r w:rsidRPr="003E4F5C">
        <w:t>Assessment Conditions</w:t>
      </w:r>
    </w:p>
    <w:p w:rsidR="00000000" w:rsidRPr="003E4F5C" w:rsidP="00D90109">
      <w:pPr>
        <w:pStyle w:val="BodyText"/>
      </w:pPr>
      <w:r w:rsidRPr="003E4F5C">
        <w:t>Assessors must satisfy NVR/AQTF assessor requirements.</w:t>
      </w:r>
    </w:p>
    <w:p w:rsidR="00000000" w:rsidRPr="003E4F5C" w:rsidP="00D90109">
      <w:pPr>
        <w:pStyle w:val="BodyText"/>
      </w:pPr>
      <w:r w:rsidRPr="003E4F5C">
        <w:t>Competency is to be assessed in the workplace or a simulated environment that accurately reflects performance in a real workplace setting.</w:t>
      </w:r>
    </w:p>
    <w:p w:rsidR="00000000" w:rsidRPr="003E4F5C" w:rsidP="00D90109">
      <w:pPr>
        <w:pStyle w:val="BodyText"/>
      </w:pPr>
      <w:r w:rsidRPr="003E4F5C">
        <w:t>Assessment must include direct observation of tasks.</w:t>
      </w:r>
    </w:p>
    <w:p w:rsidR="00000000" w:rsidRPr="003E4F5C" w:rsidP="00D90109">
      <w:pPr>
        <w:pStyle w:val="BodyText"/>
      </w:pPr>
      <w:r w:rsidRPr="003E4F5C">
        <w:t xml:space="preserve">Where assessment of competency includes third-party evidence, </w:t>
      </w:r>
      <w:r w:rsidRPr="003E4F5C">
        <w:t>individuals must provide evidence that links them to the pumping systems that they have worked on, e.g. repair orders.</w:t>
      </w:r>
    </w:p>
    <w:p w:rsidR="00000000" w:rsidRPr="003E4F5C" w:rsidP="00D90109">
      <w:pPr>
        <w:pStyle w:val="BodyText"/>
      </w:pPr>
      <w:r w:rsidRPr="003E4F5C">
        <w:t>Assessors must verify performance evidence through questioning on skills and knowledge to ensure correct interpretation and application.</w:t>
      </w:r>
    </w:p>
    <w:p w:rsidR="00000000" w:rsidRPr="003E4F5C" w:rsidP="00D90109">
      <w:pPr>
        <w:pStyle w:val="BodyText"/>
      </w:pPr>
      <w:r w:rsidRPr="003E4F5C">
        <w:t>The following resources must be made available:</w:t>
      </w:r>
    </w:p>
    <w:p w:rsidR="00000000" w:rsidRPr="003E4F5C" w:rsidP="003E4F5C">
      <w:pPr>
        <w:pStyle w:val="ListBullet"/>
      </w:pPr>
      <w:r w:rsidRPr="003E4F5C">
        <w:t>outdoor power equipment repair workplace or simulated workplace</w:t>
      </w:r>
    </w:p>
    <w:p w:rsidR="00000000" w:rsidRPr="003E4F5C" w:rsidP="003E4F5C">
      <w:pPr>
        <w:pStyle w:val="ListBullet"/>
      </w:pPr>
      <w:r w:rsidRPr="003E4F5C">
        <w:t>workplace instructions</w:t>
      </w:r>
    </w:p>
    <w:p w:rsidR="00000000" w:rsidRPr="003E4F5C" w:rsidP="003E4F5C">
      <w:pPr>
        <w:pStyle w:val="ListBullet"/>
      </w:pPr>
      <w:r w:rsidRPr="003E4F5C">
        <w:t>manufacturer specifications for pumping systems</w:t>
      </w:r>
    </w:p>
    <w:p w:rsidR="00000000" w:rsidRPr="003E4F5C" w:rsidP="003E4F5C">
      <w:pPr>
        <w:pStyle w:val="ListBullet"/>
      </w:pPr>
      <w:r w:rsidRPr="003E4F5C">
        <w:t xml:space="preserve">three pumping systems specified in the performance evidence and requiring servicing </w:t>
      </w:r>
    </w:p>
    <w:p w:rsidR="00000000" w:rsidRPr="003E4F5C" w:rsidP="003E4F5C">
      <w:pPr>
        <w:pStyle w:val="ListBullet"/>
      </w:pPr>
      <w:r w:rsidRPr="003E4F5C">
        <w:t>tools, equipment and materials appropriate for inspecting and servicing pumping systems.</w:t>
      </w:r>
    </w:p>
    <w:p w:rsidR="00000000" w:rsidRPr="003E4F5C" w:rsidP="003E4F5C">
      <w:pPr>
        <w:pStyle w:val="AllowPageBreak"/>
      </w:pPr>
    </w:p>
    <w:p w:rsidR="00000000" w:rsidRPr="003E4F5C" w:rsidP="003E4F5C">
      <w:pPr>
        <w:pStyle w:val="Heading1"/>
      </w:pPr>
      <w:bookmarkStart w:id="5" w:name="O_776068"/>
      <w:bookmarkEnd w:id="5"/>
      <w:r w:rsidRPr="003E4F5C">
        <w:t>Links</w:t>
      </w:r>
    </w:p>
    <w:p w:rsidR="00000000" w:rsidRPr="003E4F5C" w:rsidP="00D90109">
      <w:pPr>
        <w:pStyle w:val="BodyText"/>
      </w:pPr>
      <w:r w:rsidRPr="003E4F5C">
        <w:t xml:space="preserve">Companion Volume implementation guides are found in VETNet </w:t>
      </w:r>
      <w:r w:rsidRPr="003E4F5C">
        <w:t xml:space="preserve">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A79B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E4F5C" w:rsidP="00D90109">
      <w:pPr>
        <w:pStyle w:val="BodyText"/>
      </w:pPr>
      <w:r w:rsidRPr="003E4F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A79B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E4F5C" w:rsidP="003E4F5C"/>
    <w:sectPr w:rsidSect="003E4F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C" w:rsidRPr="00D90109" w:rsidP="00D90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09" w:rsidP="003E4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109" w:rsidP="003E4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0109" w:rsidP="003E4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F5C" w:rsidRPr="00D90109" w:rsidP="00D90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09" w:rsidRPr="002D2AF8" w:rsidP="003E4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AURPTA010 Inspect and service pumping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90109" w:rsidP="003E4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38F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E9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CC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F5C"/>
  </w:style>
  <w:style w:type="character" w:customStyle="1" w:styleId="Heading1Char">
    <w:name w:val="Heading 1 Char"/>
    <w:basedOn w:val="DefaultParagraphFont"/>
    <w:link w:val="Heading1"/>
    <w:rsid w:val="003E4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F5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F5C"/>
    <w:rPr>
      <w:b/>
      <w:spacing w:val="0"/>
    </w:rPr>
  </w:style>
  <w:style w:type="paragraph" w:styleId="ListBullet2">
    <w:name w:val="List Bullet 2"/>
    <w:basedOn w:val="List2"/>
    <w:rsid w:val="003E4F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4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F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F5C"/>
    <w:rPr>
      <w:i/>
    </w:rPr>
  </w:style>
  <w:style w:type="paragraph" w:styleId="Caption">
    <w:name w:val="caption"/>
    <w:basedOn w:val="BodyText"/>
    <w:next w:val="Normal"/>
    <w:qFormat/>
    <w:rsid w:val="003E4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F5C"/>
  </w:style>
  <w:style w:type="paragraph" w:styleId="TableofFigures">
    <w:name w:val="table of figures"/>
    <w:basedOn w:val="Normal"/>
    <w:next w:val="Normal"/>
    <w:semiHidden/>
    <w:rsid w:val="003E4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F5C"/>
    <w:pPr>
      <w:numPr>
        <w:numId w:val="11"/>
      </w:numPr>
    </w:pPr>
  </w:style>
  <w:style w:type="character" w:customStyle="1" w:styleId="WingdingSymbols">
    <w:name w:val="Wingding Symbols"/>
    <w:rsid w:val="003E4F5C"/>
    <w:rPr>
      <w:rFonts w:ascii="Wingdings" w:hAnsi="Wingdings"/>
    </w:rPr>
  </w:style>
  <w:style w:type="paragraph" w:customStyle="1" w:styleId="TableHeading">
    <w:name w:val="Table Heading"/>
    <w:basedOn w:val="HeadingBase"/>
    <w:rsid w:val="003E4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F5C"/>
    <w:rPr>
      <w:color w:val="0033CC"/>
      <w:u w:val="none"/>
    </w:rPr>
  </w:style>
  <w:style w:type="paragraph" w:customStyle="1" w:styleId="BodyTextRight">
    <w:name w:val="Body Text Right"/>
    <w:basedOn w:val="BodyText"/>
    <w:rsid w:val="003E4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F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F5C"/>
    <w:rPr>
      <w:sz w:val="32"/>
    </w:rPr>
  </w:style>
  <w:style w:type="paragraph" w:customStyle="1" w:styleId="HeadingProcedure">
    <w:name w:val="Heading Procedure"/>
    <w:basedOn w:val="HeadingBase"/>
    <w:next w:val="Normal"/>
    <w:rsid w:val="003E4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F5C"/>
    <w:pPr>
      <w:spacing w:before="60" w:after="60"/>
    </w:pPr>
  </w:style>
  <w:style w:type="paragraph" w:styleId="ListContinue">
    <w:name w:val="List Continue"/>
    <w:basedOn w:val="List"/>
    <w:rsid w:val="003E4F5C"/>
    <w:pPr>
      <w:ind w:firstLine="0"/>
    </w:pPr>
  </w:style>
  <w:style w:type="paragraph" w:customStyle="1" w:styleId="ListNote">
    <w:name w:val="List Note"/>
    <w:basedOn w:val="List"/>
    <w:rsid w:val="003E4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F5C"/>
    <w:rPr>
      <w:rFonts w:ascii="Courier New" w:hAnsi="Courier New"/>
    </w:rPr>
  </w:style>
  <w:style w:type="paragraph" w:customStyle="1" w:styleId="NoteBullet">
    <w:name w:val="Note Bullet"/>
    <w:basedOn w:val="Note"/>
    <w:rsid w:val="003E4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F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4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F5C"/>
    <w:rPr>
      <w:b/>
      <w:smallCaps/>
    </w:rPr>
  </w:style>
  <w:style w:type="paragraph" w:customStyle="1" w:styleId="TableListNumber">
    <w:name w:val="Table List Number"/>
    <w:basedOn w:val="ListNumber"/>
    <w:rsid w:val="003E4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F5C"/>
    <w:pPr>
      <w:numPr>
        <w:numId w:val="9"/>
      </w:numPr>
    </w:pPr>
  </w:style>
  <w:style w:type="paragraph" w:customStyle="1" w:styleId="ListAlpha2">
    <w:name w:val="List Alpha 2"/>
    <w:basedOn w:val="List2"/>
    <w:rsid w:val="003E4F5C"/>
    <w:pPr>
      <w:numPr>
        <w:numId w:val="8"/>
      </w:numPr>
    </w:pPr>
  </w:style>
  <w:style w:type="paragraph" w:styleId="List2">
    <w:name w:val="List 2"/>
    <w:basedOn w:val="BodyText"/>
    <w:rsid w:val="003E4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F5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F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4F5C"/>
    <w:pPr>
      <w:numPr>
        <w:numId w:val="4"/>
      </w:numPr>
    </w:pPr>
  </w:style>
  <w:style w:type="paragraph" w:styleId="ListContinue2">
    <w:name w:val="List Continue 2"/>
    <w:basedOn w:val="List2"/>
    <w:rsid w:val="003E4F5C"/>
    <w:pPr>
      <w:ind w:firstLine="0"/>
    </w:pPr>
  </w:style>
  <w:style w:type="paragraph" w:styleId="ListContinue3">
    <w:name w:val="List Continue 3"/>
    <w:basedOn w:val="List3"/>
    <w:rsid w:val="003E4F5C"/>
    <w:pPr>
      <w:ind w:left="1021" w:firstLine="0"/>
    </w:pPr>
  </w:style>
  <w:style w:type="paragraph" w:styleId="ListContinue4">
    <w:name w:val="List Continue 4"/>
    <w:basedOn w:val="List4"/>
    <w:rsid w:val="003E4F5C"/>
    <w:pPr>
      <w:ind w:firstLine="0"/>
    </w:pPr>
  </w:style>
  <w:style w:type="paragraph" w:styleId="ListContinue5">
    <w:name w:val="List Continue 5"/>
    <w:basedOn w:val="List5"/>
    <w:rsid w:val="003E4F5C"/>
    <w:pPr>
      <w:ind w:firstLine="0"/>
    </w:pPr>
  </w:style>
  <w:style w:type="paragraph" w:styleId="ListNumber3">
    <w:name w:val="List Number 3"/>
    <w:basedOn w:val="List3"/>
    <w:rsid w:val="003E4F5C"/>
    <w:pPr>
      <w:numPr>
        <w:numId w:val="5"/>
      </w:numPr>
    </w:pPr>
  </w:style>
  <w:style w:type="paragraph" w:styleId="ListNumber4">
    <w:name w:val="List Number 4"/>
    <w:basedOn w:val="List4"/>
    <w:rsid w:val="003E4F5C"/>
    <w:pPr>
      <w:numPr>
        <w:numId w:val="6"/>
      </w:numPr>
    </w:pPr>
  </w:style>
  <w:style w:type="paragraph" w:styleId="ListNumber5">
    <w:name w:val="List Number 5"/>
    <w:basedOn w:val="List5"/>
    <w:rsid w:val="003E4F5C"/>
    <w:pPr>
      <w:numPr>
        <w:numId w:val="7"/>
      </w:numPr>
    </w:pPr>
  </w:style>
  <w:style w:type="paragraph" w:styleId="BlockText">
    <w:name w:val="Block Text"/>
    <w:basedOn w:val="Normal"/>
    <w:rsid w:val="003E4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F5C"/>
    <w:rPr>
      <w:sz w:val="16"/>
      <w:vertAlign w:val="superscript"/>
    </w:rPr>
  </w:style>
  <w:style w:type="character" w:customStyle="1" w:styleId="Symbols">
    <w:name w:val="Symbols"/>
    <w:basedOn w:val="DefaultParagraphFont"/>
    <w:rsid w:val="003E4F5C"/>
    <w:rPr>
      <w:rFonts w:ascii="Symbol" w:hAnsi="Symbol"/>
    </w:rPr>
  </w:style>
  <w:style w:type="character" w:customStyle="1" w:styleId="MenuOptions">
    <w:name w:val="Menu Options"/>
    <w:basedOn w:val="DefaultParagraphFont"/>
    <w:rsid w:val="003E4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F5C"/>
    <w:rPr>
      <w:b/>
    </w:rPr>
  </w:style>
  <w:style w:type="character" w:customStyle="1" w:styleId="Underlined">
    <w:name w:val="Underlined"/>
    <w:basedOn w:val="DefaultParagraphFont"/>
    <w:rsid w:val="003E4F5C"/>
    <w:rPr>
      <w:u w:val="single"/>
    </w:rPr>
  </w:style>
  <w:style w:type="paragraph" w:customStyle="1" w:styleId="TableBodyTextRight">
    <w:name w:val="Table Body Text Right"/>
    <w:basedOn w:val="TableBodyText"/>
    <w:rsid w:val="003E4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F5C"/>
    <w:rPr>
      <w:sz w:val="18"/>
    </w:rPr>
  </w:style>
  <w:style w:type="paragraph" w:customStyle="1" w:styleId="BodySmallRight">
    <w:name w:val="Body Small Right"/>
    <w:basedOn w:val="BodyTextRight"/>
    <w:rsid w:val="003E4F5C"/>
    <w:rPr>
      <w:sz w:val="18"/>
      <w:szCs w:val="18"/>
    </w:rPr>
  </w:style>
  <w:style w:type="paragraph" w:customStyle="1" w:styleId="MarginEdition">
    <w:name w:val="Margin Edition"/>
    <w:basedOn w:val="MarginNote"/>
    <w:rsid w:val="003E4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F5C"/>
    <w:rPr>
      <w:sz w:val="2"/>
      <w:szCs w:val="2"/>
    </w:rPr>
  </w:style>
  <w:style w:type="character" w:customStyle="1" w:styleId="Small">
    <w:name w:val="Small"/>
    <w:basedOn w:val="DefaultParagraphFont"/>
    <w:rsid w:val="003E4F5C"/>
    <w:rPr>
      <w:sz w:val="16"/>
    </w:rPr>
  </w:style>
  <w:style w:type="paragraph" w:customStyle="1" w:styleId="WideTable">
    <w:name w:val="Wide Table"/>
    <w:basedOn w:val="Normal"/>
    <w:rsid w:val="003E4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F5C"/>
  </w:style>
  <w:style w:type="paragraph" w:styleId="Quote">
    <w:name w:val="Quote"/>
    <w:basedOn w:val="Heading1"/>
    <w:link w:val="QuoteChar"/>
    <w:qFormat/>
    <w:rsid w:val="003E4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F5C"/>
    <w:pPr>
      <w:pageBreakBefore/>
    </w:pPr>
  </w:style>
  <w:style w:type="paragraph" w:customStyle="1" w:styleId="Border">
    <w:name w:val="Border"/>
    <w:basedOn w:val="Normal"/>
    <w:qFormat/>
    <w:rsid w:val="003E4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F5C"/>
    <w:rPr>
      <w:u w:val="single"/>
    </w:rPr>
  </w:style>
  <w:style w:type="character" w:customStyle="1" w:styleId="BoldandItalics">
    <w:name w:val="Bold and Italics"/>
    <w:qFormat/>
    <w:rsid w:val="003E4F5C"/>
    <w:rPr>
      <w:b/>
      <w:i/>
      <w:u w:val="none"/>
    </w:rPr>
  </w:style>
  <w:style w:type="paragraph" w:styleId="BalloonText">
    <w:name w:val="Balloon Text"/>
    <w:basedOn w:val="Normal"/>
    <w:link w:val="BalloonTextChar"/>
    <w:rsid w:val="003E4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F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0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2987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AURPTA010 Inspect and service pumping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2018-12-07T02:19:00Z</dcterms:created>
  <dcterms:modified xsi:type="dcterms:W3CDTF">2018-12-07T02:19:00Z</dcterms:modified>
</cp:coreProperties>
</file>