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BB4" w:rsidP="00656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AURMTF002 Analyse and repair performance fuel injection systems</w:t>
      </w:r>
      <w:r>
        <w:fldChar w:fldCharType="end"/>
      </w:r>
    </w:p>
    <w:p w:rsidR="00656BB4" w:rsidP="00656BB4">
      <w:pPr>
        <w:pStyle w:val="Version"/>
        <w:sectPr w:rsidSect="007B3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A88" w:rsidP="007B3A88">
      <w:pPr>
        <w:pStyle w:val="SuperHeading"/>
      </w:pPr>
      <w:r w:rsidRPr="007B3A88">
        <w:t>Assessment Requirements for AURMTF002 Analyse and repair performance fuel injection systems</w:t>
      </w:r>
    </w:p>
    <w:p w:rsidR="00000000" w:rsidRPr="007B3A88" w:rsidP="007B3A88">
      <w:pPr>
        <w:pStyle w:val="Heading1"/>
      </w:pPr>
      <w:bookmarkStart w:id="1" w:name="O_803004"/>
      <w:bookmarkEnd w:id="1"/>
      <w:r w:rsidRPr="007B3A8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56B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A88" w:rsidP="007B3A88">
            <w:pPr>
              <w:pStyle w:val="BodyText"/>
            </w:pPr>
            <w:r w:rsidRPr="007B3A8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A88">
            <w:pPr>
              <w:pStyle w:val="BodyText"/>
              <w:rPr>
                <w:lang w:val="en-NZ"/>
              </w:rPr>
            </w:pPr>
            <w:r w:rsidRPr="007B3A88">
              <w:rPr>
                <w:rStyle w:val="SpecialBold"/>
              </w:rPr>
              <w:t>Comment</w:t>
            </w:r>
          </w:p>
        </w:tc>
      </w:tr>
      <w:tr w:rsidTr="00656B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A88">
            <w:pPr>
              <w:pStyle w:val="BodyText"/>
              <w:rPr>
                <w:lang w:val="en-NZ"/>
              </w:rPr>
            </w:pPr>
            <w:r w:rsidRPr="007B3A8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A88" w:rsidP="007B3A88">
            <w:pPr>
              <w:pStyle w:val="BodyText"/>
            </w:pPr>
            <w:r w:rsidRPr="007B3A88">
              <w:t>New unit of competency.</w:t>
            </w:r>
          </w:p>
        </w:tc>
      </w:tr>
    </w:tbl>
    <w:p w:rsidR="00000000" w:rsidRPr="007B3A88" w:rsidP="007B3A88">
      <w:pPr>
        <w:pStyle w:val="BodyText"/>
      </w:pPr>
    </w:p>
    <w:p w:rsidR="00000000" w:rsidRPr="007B3A88" w:rsidP="007B3A88">
      <w:pPr>
        <w:pStyle w:val="AllowPageBreak"/>
      </w:pPr>
    </w:p>
    <w:p w:rsidR="00000000" w:rsidRPr="007B3A88" w:rsidP="007B3A88">
      <w:pPr>
        <w:pStyle w:val="Heading1"/>
      </w:pPr>
      <w:bookmarkStart w:id="2" w:name="O_803005"/>
      <w:bookmarkEnd w:id="2"/>
      <w:r w:rsidRPr="007B3A88">
        <w:t>Performance Evidence</w:t>
      </w:r>
    </w:p>
    <w:p w:rsidR="00000000" w:rsidRPr="007B3A88" w:rsidP="00656BB4">
      <w:pPr>
        <w:pStyle w:val="BodyText"/>
      </w:pPr>
      <w:r w:rsidRPr="007B3A88">
        <w:t>Before compet</w:t>
      </w:r>
      <w:r w:rsidRPr="007B3A88">
        <w:t>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B3A88" w:rsidP="007B3A88">
      <w:pPr>
        <w:pStyle w:val="ListBullet"/>
      </w:pPr>
      <w:r w:rsidRPr="007B3A88">
        <w:t>analyse and repair faults in the performance o</w:t>
      </w:r>
      <w:r w:rsidRPr="007B3A88">
        <w:t>f the fuel injection systems of three different competition vehicles, including:</w:t>
      </w:r>
    </w:p>
    <w:p w:rsidR="00000000" w:rsidRPr="007B3A88" w:rsidP="007B3A88">
      <w:pPr>
        <w:pStyle w:val="ListBullet2"/>
      </w:pPr>
      <w:r w:rsidRPr="007B3A88">
        <w:t>two of the following faults:</w:t>
      </w:r>
    </w:p>
    <w:p w:rsidR="00000000" w:rsidRPr="007B3A88" w:rsidP="007B3A88">
      <w:pPr>
        <w:pStyle w:val="ListBullet3"/>
      </w:pPr>
      <w:r w:rsidRPr="007B3A88">
        <w:t>rough running</w:t>
      </w:r>
    </w:p>
    <w:p w:rsidR="00000000" w:rsidRPr="007B3A88" w:rsidP="007B3A88">
      <w:pPr>
        <w:pStyle w:val="ListBullet3"/>
      </w:pPr>
      <w:r w:rsidRPr="007B3A88">
        <w:t>under or over fuelling</w:t>
      </w:r>
    </w:p>
    <w:p w:rsidR="00000000" w:rsidRPr="007B3A88" w:rsidP="007B3A88">
      <w:pPr>
        <w:pStyle w:val="ListBullet3"/>
      </w:pPr>
      <w:r w:rsidRPr="007B3A88">
        <w:t>contamination or leaks</w:t>
      </w:r>
    </w:p>
    <w:p w:rsidR="00000000" w:rsidRPr="007B3A88" w:rsidP="007B3A88">
      <w:pPr>
        <w:pStyle w:val="ListBullet2"/>
      </w:pPr>
      <w:r w:rsidRPr="007B3A88">
        <w:t>one of the following faults:</w:t>
      </w:r>
    </w:p>
    <w:p w:rsidR="00000000" w:rsidRPr="007B3A88" w:rsidP="007B3A88">
      <w:pPr>
        <w:pStyle w:val="ListBullet3"/>
      </w:pPr>
      <w:r w:rsidRPr="007B3A88">
        <w:t>fuel cell ventilation</w:t>
      </w:r>
    </w:p>
    <w:p w:rsidR="00000000" w:rsidRPr="007B3A88" w:rsidP="007B3A88">
      <w:pPr>
        <w:pStyle w:val="ListBullet3"/>
      </w:pPr>
      <w:r w:rsidRPr="007B3A88">
        <w:t>pumps</w:t>
      </w:r>
    </w:p>
    <w:p w:rsidR="00000000" w:rsidRPr="007B3A88" w:rsidP="007B3A88">
      <w:pPr>
        <w:pStyle w:val="ListBullet3"/>
      </w:pPr>
      <w:r w:rsidRPr="007B3A88">
        <w:t>pressure and/or flow regulation</w:t>
      </w:r>
    </w:p>
    <w:p w:rsidR="00000000" w:rsidRPr="007B3A88" w:rsidP="007B3A88">
      <w:pPr>
        <w:pStyle w:val="ListBullet"/>
      </w:pPr>
      <w:r w:rsidRPr="007B3A88">
        <w:t>conduct post-repair checks on the above fuel systems.</w:t>
      </w:r>
    </w:p>
    <w:p w:rsidR="00000000" w:rsidRPr="007B3A88" w:rsidP="007B3A88">
      <w:pPr>
        <w:pStyle w:val="AllowPageBreak"/>
      </w:pPr>
    </w:p>
    <w:p w:rsidR="00000000" w:rsidRPr="007B3A88" w:rsidP="007B3A88">
      <w:pPr>
        <w:pStyle w:val="Heading1"/>
      </w:pPr>
      <w:bookmarkStart w:id="3" w:name="O_803006"/>
      <w:bookmarkEnd w:id="3"/>
      <w:r w:rsidRPr="007B3A88">
        <w:t>Knowledge Evidence</w:t>
      </w:r>
    </w:p>
    <w:p w:rsidR="00000000" w:rsidRPr="007B3A88" w:rsidP="00656BB4">
      <w:pPr>
        <w:pStyle w:val="BodyText"/>
      </w:pPr>
      <w:r w:rsidRPr="007B3A88">
        <w:t>Individuals must be able to demonstrate knowledge of:</w:t>
      </w:r>
    </w:p>
    <w:p w:rsidR="00000000" w:rsidRPr="007B3A88" w:rsidP="007B3A88">
      <w:pPr>
        <w:pStyle w:val="ListBullet"/>
      </w:pPr>
      <w:r w:rsidRPr="007B3A88">
        <w:t>work health and safety (WHS) and occupational health and safety (OHS) requirem</w:t>
      </w:r>
      <w:r w:rsidRPr="007B3A88">
        <w:t>ents relating to analysing and repairing performance fuel injection systems, including procedures for working with petrol fuel systems</w:t>
      </w:r>
    </w:p>
    <w:p w:rsidR="00000000" w:rsidRPr="007B3A88" w:rsidP="007B3A88">
      <w:pPr>
        <w:pStyle w:val="ListBullet"/>
      </w:pPr>
      <w:r w:rsidRPr="007B3A88">
        <w:t>environmental requirements, including procedures for trapping, storing and disposing of petrol fuel released during repai</w:t>
      </w:r>
      <w:r w:rsidRPr="007B3A88">
        <w:t>r or testing</w:t>
      </w:r>
    </w:p>
    <w:p w:rsidR="00000000" w:rsidRPr="007B3A88" w:rsidP="007B3A88">
      <w:pPr>
        <w:pStyle w:val="ListBullet"/>
      </w:pPr>
      <w:r w:rsidRPr="007B3A88">
        <w:t>types, function, operation and limitations of fuel injection systems and components, including:</w:t>
      </w:r>
    </w:p>
    <w:p w:rsidR="00000000" w:rsidRPr="007B3A88" w:rsidP="007B3A88">
      <w:pPr>
        <w:pStyle w:val="ListBullet2"/>
      </w:pPr>
      <w:r w:rsidRPr="007B3A88">
        <w:t>properties of fuels used in the motor sport industry, including compatibility with fuel injection system components</w:t>
      </w:r>
    </w:p>
    <w:p w:rsidR="00000000" w:rsidRPr="007B3A88" w:rsidP="007B3A88">
      <w:pPr>
        <w:pStyle w:val="ListBullet2"/>
      </w:pPr>
      <w:r w:rsidRPr="007B3A88">
        <w:t>fuel injection system components, including:</w:t>
      </w:r>
    </w:p>
    <w:p w:rsidR="00000000" w:rsidRPr="007B3A88" w:rsidP="007B3A88">
      <w:pPr>
        <w:pStyle w:val="ListBullet3"/>
      </w:pPr>
      <w:r w:rsidRPr="007B3A88">
        <w:t>air intake systems</w:t>
      </w:r>
    </w:p>
    <w:p w:rsidR="00000000" w:rsidRPr="007B3A88" w:rsidP="007B3A88">
      <w:pPr>
        <w:pStyle w:val="ListBullet3"/>
      </w:pPr>
      <w:r w:rsidRPr="007B3A88">
        <w:t>fuel delivery systems, including fuel rails</w:t>
      </w:r>
    </w:p>
    <w:p w:rsidR="00000000" w:rsidRPr="007B3A88" w:rsidP="007B3A88">
      <w:pPr>
        <w:pStyle w:val="ListBullet3"/>
      </w:pPr>
      <w:r w:rsidRPr="007B3A88">
        <w:t>fuel filters</w:t>
      </w:r>
    </w:p>
    <w:p w:rsidR="00000000" w:rsidRPr="007B3A88" w:rsidP="007B3A88">
      <w:pPr>
        <w:pStyle w:val="ListBullet3"/>
      </w:pPr>
      <w:r w:rsidRPr="007B3A88">
        <w:t>fuel pumps</w:t>
      </w:r>
    </w:p>
    <w:p w:rsidR="00000000" w:rsidRPr="007B3A88" w:rsidP="007B3A88">
      <w:pPr>
        <w:pStyle w:val="ListBullet3"/>
      </w:pPr>
      <w:r w:rsidRPr="007B3A88">
        <w:t>fuel surge tanks</w:t>
      </w:r>
    </w:p>
    <w:p w:rsidR="00000000" w:rsidRPr="007B3A88" w:rsidP="007B3A88">
      <w:pPr>
        <w:pStyle w:val="ListBullet3"/>
      </w:pPr>
      <w:r w:rsidRPr="007B3A88">
        <w:t>adjustable fuel pressure regulators</w:t>
      </w:r>
    </w:p>
    <w:p w:rsidR="00000000" w:rsidRPr="007B3A88" w:rsidP="007B3A88">
      <w:pPr>
        <w:pStyle w:val="ListBullet2"/>
      </w:pPr>
      <w:r w:rsidRPr="007B3A88">
        <w:t>fuel injectors, including peak-and-hold and saturated injectors:</w:t>
      </w:r>
    </w:p>
    <w:p w:rsidR="00000000" w:rsidRPr="007B3A88" w:rsidP="007B3A88">
      <w:pPr>
        <w:pStyle w:val="ListBullet3"/>
      </w:pPr>
      <w:r w:rsidRPr="007B3A88">
        <w:t>fue</w:t>
      </w:r>
      <w:r w:rsidRPr="007B3A88">
        <w:t>l rails</w:t>
      </w:r>
    </w:p>
    <w:p w:rsidR="00000000" w:rsidRPr="007B3A88" w:rsidP="007B3A88">
      <w:pPr>
        <w:pStyle w:val="ListBullet3"/>
      </w:pPr>
      <w:r w:rsidRPr="007B3A88">
        <w:t>fuel filters</w:t>
      </w:r>
    </w:p>
    <w:p w:rsidR="00000000" w:rsidRPr="007B3A88" w:rsidP="007B3A88">
      <w:pPr>
        <w:pStyle w:val="ListBullet3"/>
      </w:pPr>
      <w:r w:rsidRPr="007B3A88">
        <w:t>fuel pumps</w:t>
      </w:r>
    </w:p>
    <w:p w:rsidR="00000000" w:rsidRPr="007B3A88" w:rsidP="007B3A88">
      <w:pPr>
        <w:pStyle w:val="ListBullet3"/>
      </w:pPr>
      <w:r w:rsidRPr="007B3A88">
        <w:t>fuel surge tanks</w:t>
      </w:r>
    </w:p>
    <w:p w:rsidR="00000000" w:rsidRPr="007B3A88" w:rsidP="007B3A88">
      <w:pPr>
        <w:pStyle w:val="ListBullet3"/>
      </w:pPr>
      <w:r w:rsidRPr="007B3A88">
        <w:t>adjustable fuel pressure regulators</w:t>
      </w:r>
    </w:p>
    <w:p w:rsidR="00000000" w:rsidRPr="007B3A88" w:rsidP="007B3A88">
      <w:pPr>
        <w:pStyle w:val="ListBullet2"/>
      </w:pPr>
      <w:r w:rsidRPr="007B3A88">
        <w:t>management systems, including:</w:t>
      </w:r>
    </w:p>
    <w:p w:rsidR="00000000" w:rsidRPr="007B3A88" w:rsidP="007B3A88">
      <w:pPr>
        <w:pStyle w:val="ListBullet3"/>
      </w:pPr>
      <w:r w:rsidRPr="007B3A88">
        <w:t>pressure and temperature sensors</w:t>
      </w:r>
    </w:p>
    <w:p w:rsidR="00000000" w:rsidRPr="007B3A88" w:rsidP="007B3A88">
      <w:pPr>
        <w:pStyle w:val="ListBullet3"/>
      </w:pPr>
      <w:r w:rsidRPr="007B3A88">
        <w:t>electronic control units</w:t>
      </w:r>
    </w:p>
    <w:p w:rsidR="00000000" w:rsidRPr="007B3A88" w:rsidP="007B3A88">
      <w:pPr>
        <w:pStyle w:val="ListBullet"/>
      </w:pPr>
      <w:r w:rsidRPr="007B3A88">
        <w:t>diagnostic testing procedures of performance fuel injection systems, including:</w:t>
      </w:r>
    </w:p>
    <w:p w:rsidR="00000000" w:rsidRPr="007B3A88" w:rsidP="007B3A88">
      <w:pPr>
        <w:pStyle w:val="ListBullet2"/>
      </w:pPr>
      <w:r w:rsidRPr="007B3A88">
        <w:t>symptom and cause differentiation</w:t>
      </w:r>
    </w:p>
    <w:p w:rsidR="00000000" w:rsidRPr="007B3A88" w:rsidP="007B3A88">
      <w:pPr>
        <w:pStyle w:val="ListBullet2"/>
      </w:pPr>
      <w:r w:rsidRPr="007B3A88">
        <w:t>mapping fuel delivery</w:t>
      </w:r>
    </w:p>
    <w:p w:rsidR="00000000" w:rsidRPr="007B3A88" w:rsidP="007B3A88">
      <w:pPr>
        <w:pStyle w:val="ListBullet2"/>
      </w:pPr>
      <w:r w:rsidRPr="007B3A88">
        <w:t>fuel trim and live data</w:t>
      </w:r>
    </w:p>
    <w:p w:rsidR="00000000" w:rsidRPr="007B3A88" w:rsidP="007B3A88">
      <w:pPr>
        <w:pStyle w:val="ListBullet2"/>
      </w:pPr>
      <w:r w:rsidRPr="007B3A88">
        <w:t>fuel pump pressure, volume and vacuum testing</w:t>
      </w:r>
    </w:p>
    <w:p w:rsidR="00000000" w:rsidRPr="007B3A88" w:rsidP="007B3A88">
      <w:pPr>
        <w:pStyle w:val="ListBullet2"/>
      </w:pPr>
      <w:r w:rsidRPr="007B3A88">
        <w:t>testing for air leaks</w:t>
      </w:r>
    </w:p>
    <w:p w:rsidR="00000000" w:rsidRPr="007B3A88" w:rsidP="007B3A88">
      <w:pPr>
        <w:pStyle w:val="ListBullet2"/>
      </w:pPr>
      <w:r w:rsidRPr="007B3A88">
        <w:t>scan tool and data gathering</w:t>
      </w:r>
    </w:p>
    <w:p w:rsidR="00000000" w:rsidRPr="007B3A88" w:rsidP="007B3A88">
      <w:pPr>
        <w:pStyle w:val="ListBullet2"/>
      </w:pPr>
      <w:r w:rsidRPr="007B3A88">
        <w:t>cold-start enrichment testing</w:t>
      </w:r>
    </w:p>
    <w:p w:rsidR="00000000" w:rsidRPr="007B3A88" w:rsidP="007B3A88">
      <w:pPr>
        <w:pStyle w:val="ListBullet2"/>
      </w:pPr>
      <w:r w:rsidRPr="007B3A88">
        <w:t>exhaust gas analysis</w:t>
      </w:r>
    </w:p>
    <w:p w:rsidR="00000000" w:rsidRPr="007B3A88" w:rsidP="007B3A88">
      <w:pPr>
        <w:pStyle w:val="ListBullet"/>
      </w:pPr>
      <w:r w:rsidRPr="007B3A88">
        <w:t>procedures for repair and improvement of performance fuel injection systems, including fuel system component removal, replacement or repair, and adjustment procedures</w:t>
      </w:r>
    </w:p>
    <w:p w:rsidR="00000000" w:rsidRPr="007B3A88" w:rsidP="007B3A88">
      <w:pPr>
        <w:pStyle w:val="ListBullet"/>
      </w:pPr>
      <w:r w:rsidRPr="007B3A88">
        <w:t>post-repair testing procedures of performance fuel injection systems.</w:t>
      </w:r>
    </w:p>
    <w:p w:rsidR="00000000" w:rsidRPr="007B3A88" w:rsidP="007B3A88">
      <w:pPr>
        <w:pStyle w:val="AllowPageBreak"/>
      </w:pPr>
    </w:p>
    <w:p w:rsidR="00000000" w:rsidRPr="007B3A88" w:rsidP="007B3A88">
      <w:pPr>
        <w:pStyle w:val="Heading1"/>
      </w:pPr>
      <w:bookmarkStart w:id="4" w:name="O_803007"/>
      <w:bookmarkEnd w:id="4"/>
      <w:r w:rsidRPr="007B3A88">
        <w:t>As</w:t>
      </w:r>
      <w:r w:rsidRPr="007B3A88">
        <w:t>sessment Conditions</w:t>
      </w:r>
    </w:p>
    <w:p w:rsidR="00000000" w:rsidRPr="007B3A88" w:rsidP="00656BB4">
      <w:pPr>
        <w:pStyle w:val="BodyText"/>
      </w:pPr>
      <w:r w:rsidRPr="007B3A88">
        <w:t>Assessors must satisfy NVR/AQTF assessor requirements.</w:t>
      </w:r>
    </w:p>
    <w:p w:rsidR="00000000" w:rsidRPr="007B3A88" w:rsidP="00656BB4">
      <w:pPr>
        <w:pStyle w:val="BodyText"/>
      </w:pPr>
      <w:r w:rsidRPr="007B3A88">
        <w:t>Competency is to be assessed in the workplace or a simulated environment that accurately reflects performance in a real workplace setting.</w:t>
      </w:r>
    </w:p>
    <w:p w:rsidR="00000000" w:rsidRPr="007B3A88" w:rsidP="00656BB4">
      <w:pPr>
        <w:pStyle w:val="BodyText"/>
      </w:pPr>
      <w:r w:rsidRPr="007B3A88">
        <w:t>Assessment must include direct observati</w:t>
      </w:r>
      <w:r w:rsidRPr="007B3A88">
        <w:t>on of tasks.</w:t>
      </w:r>
    </w:p>
    <w:p w:rsidR="00000000" w:rsidRPr="007B3A88" w:rsidP="00656BB4">
      <w:pPr>
        <w:pStyle w:val="BodyText"/>
      </w:pPr>
      <w:r w:rsidRPr="007B3A88">
        <w:t>Where assessment of competency includes third-party evidence, individuals must provide evidence that links them to the performance fuel injection systems they have analysed and repaired, e.g. work order.</w:t>
      </w:r>
    </w:p>
    <w:p w:rsidR="00000000" w:rsidRPr="007B3A88" w:rsidP="00656BB4">
      <w:pPr>
        <w:pStyle w:val="BodyText"/>
      </w:pPr>
      <w:r w:rsidRPr="007B3A88">
        <w:t>Assessors must verify performance evidence through questioning on skills and knowledge to ensure correct interpretation and application.</w:t>
      </w:r>
    </w:p>
    <w:p w:rsidR="00000000" w:rsidRPr="007B3A88" w:rsidP="00656BB4">
      <w:pPr>
        <w:pStyle w:val="BodyText"/>
      </w:pPr>
      <w:r w:rsidRPr="007B3A88">
        <w:t>The following resources must be made available:</w:t>
      </w:r>
    </w:p>
    <w:p w:rsidR="00000000" w:rsidRPr="007B3A88" w:rsidP="007B3A88">
      <w:pPr>
        <w:pStyle w:val="ListBullet"/>
      </w:pPr>
      <w:r w:rsidRPr="007B3A88">
        <w:t>automotive repair workplace or simulated workplace</w:t>
      </w:r>
    </w:p>
    <w:p w:rsidR="00000000" w:rsidRPr="007B3A88" w:rsidP="007B3A88">
      <w:pPr>
        <w:pStyle w:val="ListBullet"/>
      </w:pPr>
      <w:r w:rsidRPr="007B3A88">
        <w:t>workplace instruct</w:t>
      </w:r>
      <w:r w:rsidRPr="007B3A88">
        <w:t>ions</w:t>
      </w:r>
    </w:p>
    <w:p w:rsidR="00000000" w:rsidRPr="007B3A88" w:rsidP="007B3A88">
      <w:pPr>
        <w:pStyle w:val="ListBullet"/>
      </w:pPr>
      <w:r w:rsidRPr="007B3A88">
        <w:t>manufacturer specifications for vehicle performance fuel injection systems</w:t>
      </w:r>
    </w:p>
    <w:p w:rsidR="00000000" w:rsidRPr="007B3A88" w:rsidP="007B3A88">
      <w:pPr>
        <w:pStyle w:val="ListBullet"/>
      </w:pPr>
      <w:r w:rsidRPr="007B3A88">
        <w:t xml:space="preserve">three different competition vehicles with faults in their performance fuel injection systems </w:t>
      </w:r>
    </w:p>
    <w:p w:rsidR="00000000" w:rsidRPr="007B3A88" w:rsidP="007B3A88">
      <w:pPr>
        <w:pStyle w:val="ListBullet"/>
      </w:pPr>
      <w:r w:rsidRPr="007B3A88">
        <w:t>diagnostic equipment for performance fuel injection systems, including:</w:t>
      </w:r>
    </w:p>
    <w:p w:rsidR="00000000" w:rsidRPr="007B3A88" w:rsidP="007B3A88">
      <w:pPr>
        <w:pStyle w:val="ListBullet2"/>
      </w:pPr>
      <w:r w:rsidRPr="007B3A88">
        <w:t>exhaust g</w:t>
      </w:r>
      <w:r w:rsidRPr="007B3A88">
        <w:t>as analyser</w:t>
      </w:r>
    </w:p>
    <w:p w:rsidR="00000000" w:rsidRPr="007B3A88" w:rsidP="007B3A88">
      <w:pPr>
        <w:pStyle w:val="ListBullet2"/>
      </w:pPr>
      <w:r w:rsidRPr="007B3A88">
        <w:t>scan tool or data logger</w:t>
      </w:r>
    </w:p>
    <w:p w:rsidR="00000000" w:rsidRPr="007B3A88" w:rsidP="007B3A88">
      <w:pPr>
        <w:pStyle w:val="ListBullet"/>
      </w:pPr>
      <w:r w:rsidRPr="007B3A88">
        <w:t>tools, equipment and materials appropriate for analysing and repairing performance fuel injection systems.</w:t>
      </w:r>
    </w:p>
    <w:p w:rsidR="00000000" w:rsidRPr="007B3A88" w:rsidP="007B3A88">
      <w:pPr>
        <w:pStyle w:val="AllowPageBreak"/>
      </w:pPr>
    </w:p>
    <w:p w:rsidR="00000000" w:rsidRPr="007B3A88" w:rsidP="007B3A88">
      <w:pPr>
        <w:pStyle w:val="Heading1"/>
      </w:pPr>
      <w:bookmarkStart w:id="5" w:name="O_803010"/>
      <w:bookmarkEnd w:id="5"/>
      <w:r w:rsidRPr="007B3A88">
        <w:t>Links</w:t>
      </w:r>
    </w:p>
    <w:p w:rsidR="00000000" w:rsidRPr="007B3A88" w:rsidP="00656BB4">
      <w:pPr>
        <w:pStyle w:val="BodyText"/>
      </w:pPr>
      <w:r w:rsidRPr="007B3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61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3A88" w:rsidP="00656BB4">
      <w:pPr>
        <w:pStyle w:val="BodyText"/>
      </w:pPr>
      <w:r w:rsidRPr="007B3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61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3A88" w:rsidP="007B3A88"/>
    <w:sectPr w:rsidSect="007B3A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88" w:rsidRPr="00656BB4" w:rsidP="00656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B4" w:rsidP="007B3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BB4" w:rsidP="007B3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56BB4" w:rsidP="007B3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A88" w:rsidRPr="00656BB4" w:rsidP="00656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B4" w:rsidRPr="002D2AF8" w:rsidP="007B3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AURMTF002 Analyse and repair performance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56BB4" w:rsidP="007B3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A60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8E3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562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A88"/>
  </w:style>
  <w:style w:type="character" w:customStyle="1" w:styleId="Heading1Char">
    <w:name w:val="Heading 1 Char"/>
    <w:basedOn w:val="DefaultParagraphFont"/>
    <w:link w:val="Heading1"/>
    <w:rsid w:val="007B3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A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A88"/>
    <w:rPr>
      <w:b/>
      <w:spacing w:val="0"/>
    </w:rPr>
  </w:style>
  <w:style w:type="paragraph" w:styleId="ListBullet2">
    <w:name w:val="List Bullet 2"/>
    <w:basedOn w:val="List2"/>
    <w:rsid w:val="007B3A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3A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3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A88"/>
    <w:rPr>
      <w:i/>
    </w:rPr>
  </w:style>
  <w:style w:type="paragraph" w:styleId="Caption">
    <w:name w:val="caption"/>
    <w:basedOn w:val="BodyText"/>
    <w:next w:val="Normal"/>
    <w:qFormat/>
    <w:rsid w:val="007B3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A88"/>
  </w:style>
  <w:style w:type="paragraph" w:styleId="TableofFigures">
    <w:name w:val="table of figures"/>
    <w:basedOn w:val="Normal"/>
    <w:next w:val="Normal"/>
    <w:semiHidden/>
    <w:rsid w:val="007B3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A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3A88"/>
    <w:rPr>
      <w:rFonts w:ascii="Wingdings" w:hAnsi="Wingdings"/>
    </w:rPr>
  </w:style>
  <w:style w:type="paragraph" w:customStyle="1" w:styleId="TableHeading">
    <w:name w:val="Table Heading"/>
    <w:basedOn w:val="HeadingBase"/>
    <w:rsid w:val="007B3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A88"/>
    <w:rPr>
      <w:color w:val="0033CC"/>
      <w:u w:val="none"/>
    </w:rPr>
  </w:style>
  <w:style w:type="paragraph" w:customStyle="1" w:styleId="BodyTextRight">
    <w:name w:val="Body Text Right"/>
    <w:basedOn w:val="BodyText"/>
    <w:rsid w:val="007B3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A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A88"/>
    <w:rPr>
      <w:sz w:val="32"/>
    </w:rPr>
  </w:style>
  <w:style w:type="paragraph" w:customStyle="1" w:styleId="HeadingProcedure">
    <w:name w:val="Heading Procedure"/>
    <w:basedOn w:val="HeadingBase"/>
    <w:next w:val="Normal"/>
    <w:rsid w:val="007B3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A88"/>
    <w:pPr>
      <w:spacing w:before="60" w:after="60"/>
    </w:pPr>
  </w:style>
  <w:style w:type="paragraph" w:styleId="ListContinue">
    <w:name w:val="List Continue"/>
    <w:basedOn w:val="List"/>
    <w:rsid w:val="007B3A88"/>
    <w:pPr>
      <w:ind w:firstLine="0"/>
    </w:pPr>
  </w:style>
  <w:style w:type="paragraph" w:customStyle="1" w:styleId="ListNote">
    <w:name w:val="List Note"/>
    <w:basedOn w:val="List"/>
    <w:rsid w:val="007B3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A88"/>
    <w:rPr>
      <w:rFonts w:ascii="Courier New" w:hAnsi="Courier New"/>
    </w:rPr>
  </w:style>
  <w:style w:type="paragraph" w:customStyle="1" w:styleId="NoteBullet">
    <w:name w:val="Note Bullet"/>
    <w:basedOn w:val="Note"/>
    <w:rsid w:val="007B3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A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3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A88"/>
    <w:rPr>
      <w:b/>
      <w:smallCaps/>
    </w:rPr>
  </w:style>
  <w:style w:type="paragraph" w:customStyle="1" w:styleId="TableListNumber">
    <w:name w:val="Table List Number"/>
    <w:basedOn w:val="ListNumber"/>
    <w:rsid w:val="007B3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A88"/>
    <w:pPr>
      <w:numPr>
        <w:numId w:val="10"/>
      </w:numPr>
    </w:pPr>
  </w:style>
  <w:style w:type="paragraph" w:customStyle="1" w:styleId="ListAlpha2">
    <w:name w:val="List Alpha 2"/>
    <w:basedOn w:val="List2"/>
    <w:rsid w:val="007B3A88"/>
    <w:pPr>
      <w:numPr>
        <w:numId w:val="9"/>
      </w:numPr>
    </w:pPr>
  </w:style>
  <w:style w:type="paragraph" w:styleId="List2">
    <w:name w:val="List 2"/>
    <w:basedOn w:val="BodyText"/>
    <w:rsid w:val="007B3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A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3A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3A88"/>
    <w:pPr>
      <w:numPr>
        <w:numId w:val="5"/>
      </w:numPr>
    </w:pPr>
  </w:style>
  <w:style w:type="paragraph" w:styleId="ListContinue2">
    <w:name w:val="List Continue 2"/>
    <w:basedOn w:val="List2"/>
    <w:rsid w:val="007B3A88"/>
    <w:pPr>
      <w:ind w:firstLine="0"/>
    </w:pPr>
  </w:style>
  <w:style w:type="paragraph" w:styleId="ListContinue3">
    <w:name w:val="List Continue 3"/>
    <w:basedOn w:val="List3"/>
    <w:rsid w:val="007B3A88"/>
    <w:pPr>
      <w:ind w:left="1021" w:firstLine="0"/>
    </w:pPr>
  </w:style>
  <w:style w:type="paragraph" w:styleId="ListContinue4">
    <w:name w:val="List Continue 4"/>
    <w:basedOn w:val="List4"/>
    <w:rsid w:val="007B3A88"/>
    <w:pPr>
      <w:ind w:firstLine="0"/>
    </w:pPr>
  </w:style>
  <w:style w:type="paragraph" w:styleId="ListContinue5">
    <w:name w:val="List Continue 5"/>
    <w:basedOn w:val="List5"/>
    <w:rsid w:val="007B3A88"/>
    <w:pPr>
      <w:ind w:firstLine="0"/>
    </w:pPr>
  </w:style>
  <w:style w:type="paragraph" w:styleId="ListNumber3">
    <w:name w:val="List Number 3"/>
    <w:basedOn w:val="List3"/>
    <w:rsid w:val="007B3A88"/>
    <w:pPr>
      <w:numPr>
        <w:numId w:val="6"/>
      </w:numPr>
    </w:pPr>
  </w:style>
  <w:style w:type="paragraph" w:styleId="ListNumber4">
    <w:name w:val="List Number 4"/>
    <w:basedOn w:val="List4"/>
    <w:rsid w:val="007B3A88"/>
    <w:pPr>
      <w:numPr>
        <w:numId w:val="7"/>
      </w:numPr>
    </w:pPr>
  </w:style>
  <w:style w:type="paragraph" w:styleId="ListNumber5">
    <w:name w:val="List Number 5"/>
    <w:basedOn w:val="List5"/>
    <w:rsid w:val="007B3A88"/>
    <w:pPr>
      <w:numPr>
        <w:numId w:val="8"/>
      </w:numPr>
    </w:pPr>
  </w:style>
  <w:style w:type="paragraph" w:styleId="BlockText">
    <w:name w:val="Block Text"/>
    <w:basedOn w:val="Normal"/>
    <w:rsid w:val="007B3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A88"/>
    <w:rPr>
      <w:sz w:val="16"/>
      <w:vertAlign w:val="superscript"/>
    </w:rPr>
  </w:style>
  <w:style w:type="character" w:customStyle="1" w:styleId="Symbols">
    <w:name w:val="Symbols"/>
    <w:basedOn w:val="DefaultParagraphFont"/>
    <w:rsid w:val="007B3A88"/>
    <w:rPr>
      <w:rFonts w:ascii="Symbol" w:hAnsi="Symbol"/>
    </w:rPr>
  </w:style>
  <w:style w:type="character" w:customStyle="1" w:styleId="MenuOptions">
    <w:name w:val="Menu Options"/>
    <w:basedOn w:val="DefaultParagraphFont"/>
    <w:rsid w:val="007B3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A88"/>
    <w:rPr>
      <w:b/>
    </w:rPr>
  </w:style>
  <w:style w:type="character" w:customStyle="1" w:styleId="Underlined">
    <w:name w:val="Underlined"/>
    <w:basedOn w:val="DefaultParagraphFont"/>
    <w:rsid w:val="007B3A88"/>
    <w:rPr>
      <w:u w:val="single"/>
    </w:rPr>
  </w:style>
  <w:style w:type="paragraph" w:customStyle="1" w:styleId="TableBodyTextRight">
    <w:name w:val="Table Body Text Right"/>
    <w:basedOn w:val="TableBodyText"/>
    <w:rsid w:val="007B3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A88"/>
    <w:rPr>
      <w:sz w:val="18"/>
    </w:rPr>
  </w:style>
  <w:style w:type="paragraph" w:customStyle="1" w:styleId="BodySmallRight">
    <w:name w:val="Body Small Right"/>
    <w:basedOn w:val="BodyTextRight"/>
    <w:rsid w:val="007B3A88"/>
    <w:rPr>
      <w:sz w:val="18"/>
      <w:szCs w:val="18"/>
    </w:rPr>
  </w:style>
  <w:style w:type="paragraph" w:customStyle="1" w:styleId="MarginEdition">
    <w:name w:val="Margin Edition"/>
    <w:basedOn w:val="MarginNote"/>
    <w:rsid w:val="007B3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A88"/>
    <w:rPr>
      <w:sz w:val="2"/>
      <w:szCs w:val="2"/>
    </w:rPr>
  </w:style>
  <w:style w:type="character" w:customStyle="1" w:styleId="Small">
    <w:name w:val="Small"/>
    <w:basedOn w:val="DefaultParagraphFont"/>
    <w:rsid w:val="007B3A88"/>
    <w:rPr>
      <w:sz w:val="16"/>
    </w:rPr>
  </w:style>
  <w:style w:type="paragraph" w:customStyle="1" w:styleId="WideTable">
    <w:name w:val="Wide Table"/>
    <w:basedOn w:val="Normal"/>
    <w:rsid w:val="007B3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A88"/>
  </w:style>
  <w:style w:type="paragraph" w:styleId="Quote">
    <w:name w:val="Quote"/>
    <w:basedOn w:val="Heading1"/>
    <w:link w:val="QuoteChar"/>
    <w:qFormat/>
    <w:rsid w:val="007B3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A88"/>
    <w:pPr>
      <w:pageBreakBefore/>
    </w:pPr>
  </w:style>
  <w:style w:type="paragraph" w:customStyle="1" w:styleId="Border">
    <w:name w:val="Border"/>
    <w:basedOn w:val="Normal"/>
    <w:qFormat/>
    <w:rsid w:val="007B3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A88"/>
    <w:rPr>
      <w:u w:val="single"/>
    </w:rPr>
  </w:style>
  <w:style w:type="character" w:customStyle="1" w:styleId="BoldandItalics">
    <w:name w:val="Bold and Italics"/>
    <w:qFormat/>
    <w:rsid w:val="007B3A88"/>
    <w:rPr>
      <w:b/>
      <w:i/>
      <w:u w:val="none"/>
    </w:rPr>
  </w:style>
  <w:style w:type="paragraph" w:styleId="BalloonText">
    <w:name w:val="Balloon Text"/>
    <w:basedOn w:val="Normal"/>
    <w:link w:val="BalloonTextChar"/>
    <w:rsid w:val="007B3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A88"/>
    <w:pPr>
      <w:spacing w:before="0" w:after="0"/>
    </w:pPr>
  </w:style>
  <w:style w:type="paragraph" w:customStyle="1" w:styleId="BodyTextBold">
    <w:name w:val="Body Text Bold"/>
    <w:basedOn w:val="BodyText"/>
    <w:qFormat/>
    <w:rsid w:val="007B3A88"/>
    <w:rPr>
      <w:b/>
    </w:rPr>
  </w:style>
  <w:style w:type="character" w:styleId="Hyperlink">
    <w:name w:val="Hyperlink"/>
    <w:basedOn w:val="DefaultParagraphFont"/>
    <w:uiPriority w:val="99"/>
    <w:unhideWhenUsed/>
    <w:rsid w:val="00656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3650</Characters>
  <Application>Microsoft Office Word</Application>
  <DocSecurity>0</DocSecurity>
  <Lines>107</Lines>
  <Paragraphs>85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AURMTF002 Analyse and repair performance fuel injection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