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EFB" w:rsidP="00770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AURMTE101 Test engines using a dynamometer</w:t>
      </w:r>
      <w:r>
        <w:fldChar w:fldCharType="end"/>
      </w:r>
    </w:p>
    <w:p w:rsidR="00770EFB" w:rsidP="00770EFB">
      <w:pPr>
        <w:pStyle w:val="Version"/>
        <w:sectPr w:rsidSect="00A37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9C5" w:rsidP="00A379C5">
      <w:pPr>
        <w:pStyle w:val="SuperHeading"/>
      </w:pPr>
      <w:r w:rsidRPr="00A379C5">
        <w:t>Assessment Requirements for AURMTE101 Test engines using a dynamometer</w:t>
      </w:r>
    </w:p>
    <w:p w:rsidR="00000000" w:rsidRPr="00A379C5" w:rsidP="00A379C5">
      <w:pPr>
        <w:pStyle w:val="Heading1"/>
      </w:pPr>
      <w:bookmarkStart w:id="1" w:name="O_1128742"/>
      <w:bookmarkEnd w:id="1"/>
      <w:r w:rsidRPr="00A379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3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9C5" w:rsidP="00A379C5">
            <w:pPr>
              <w:pStyle w:val="BodyText"/>
            </w:pPr>
            <w:r w:rsidRPr="00A379C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C5">
            <w:pPr>
              <w:pStyle w:val="BodyText"/>
              <w:rPr>
                <w:lang w:val="en-NZ"/>
              </w:rPr>
            </w:pPr>
            <w:r w:rsidRPr="00A379C5">
              <w:rPr>
                <w:rStyle w:val="SpecialBold"/>
              </w:rPr>
              <w:t>Comments</w:t>
            </w:r>
          </w:p>
        </w:tc>
      </w:tr>
      <w:tr w:rsidTr="00A3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C5">
            <w:pPr>
              <w:pStyle w:val="BodyText"/>
              <w:rPr>
                <w:lang w:val="en-NZ"/>
              </w:rPr>
            </w:pPr>
            <w:r w:rsidRPr="00A379C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9C5" w:rsidP="00A379C5">
            <w:pPr>
              <w:pStyle w:val="BodyText"/>
            </w:pPr>
            <w:r w:rsidRPr="00A379C5">
              <w:t>This version first released with AUR Automotive Retail, Service and Repair Training Package Version 6.0</w:t>
            </w:r>
          </w:p>
        </w:tc>
      </w:tr>
    </w:tbl>
    <w:p w:rsidR="00000000" w:rsidRPr="00A379C5" w:rsidP="00A379C5">
      <w:pPr>
        <w:pStyle w:val="BodyText"/>
      </w:pPr>
    </w:p>
    <w:p w:rsidR="00000000" w:rsidRPr="00A379C5" w:rsidP="00A379C5">
      <w:pPr>
        <w:pStyle w:val="AllowPageBreak"/>
      </w:pPr>
    </w:p>
    <w:p w:rsidR="00000000" w:rsidRPr="00A379C5" w:rsidP="00A379C5">
      <w:pPr>
        <w:pStyle w:val="Heading1"/>
      </w:pPr>
      <w:bookmarkStart w:id="2" w:name="O_1128745"/>
      <w:bookmarkEnd w:id="2"/>
      <w:r w:rsidRPr="00A379C5">
        <w:t>Performance Evidence</w:t>
      </w:r>
    </w:p>
    <w:p w:rsidR="00000000" w:rsidRPr="00A379C5" w:rsidP="00770EFB">
      <w:pPr>
        <w:pStyle w:val="BodyText"/>
      </w:pPr>
      <w:r w:rsidRPr="00A379C5">
        <w:t>The candidate must demonstrate the ability to complete the tasks outlined in the elements, performance criteria and foundation skills of this unit, including evidence of the ability to:</w:t>
      </w:r>
    </w:p>
    <w:p w:rsidR="00000000" w:rsidRPr="00A379C5" w:rsidP="00A379C5">
      <w:pPr>
        <w:pStyle w:val="ListBullet"/>
      </w:pPr>
      <w:r w:rsidRPr="00A379C5">
        <w:t>carry out dynamometer testing on at lea</w:t>
      </w:r>
      <w:r w:rsidRPr="00A379C5">
        <w:t>st two different engines.</w:t>
      </w:r>
    </w:p>
    <w:p w:rsidR="00000000" w:rsidRPr="00A379C5" w:rsidP="00A379C5">
      <w:pPr>
        <w:pStyle w:val="AllowPageBreak"/>
      </w:pPr>
    </w:p>
    <w:p w:rsidR="00000000" w:rsidRPr="00A379C5" w:rsidP="00A379C5">
      <w:pPr>
        <w:pStyle w:val="Heading1"/>
      </w:pPr>
      <w:bookmarkStart w:id="3" w:name="O_1128744"/>
      <w:bookmarkEnd w:id="3"/>
      <w:r w:rsidRPr="00A379C5">
        <w:t>Knowledge Evidence</w:t>
      </w:r>
    </w:p>
    <w:p w:rsidR="00000000" w:rsidRPr="00A379C5" w:rsidP="00770EFB">
      <w:pPr>
        <w:pStyle w:val="BodyText"/>
      </w:pPr>
      <w:r w:rsidRPr="00A379C5">
        <w:t>The candidate must be able to demonstrate knowledge to complete the tasks outlined in the elements, performance criteria and foundation skills of this unit, including knowledge of:</w:t>
      </w:r>
    </w:p>
    <w:p w:rsidR="00000000" w:rsidRPr="00A379C5" w:rsidP="00A379C5">
      <w:pPr>
        <w:pStyle w:val="ListBullet"/>
      </w:pPr>
      <w:r w:rsidRPr="00A379C5">
        <w:t>methods to locate and interpret information required to test engines using a dynamometer, including:</w:t>
      </w:r>
    </w:p>
    <w:p w:rsidR="00000000" w:rsidRPr="00A379C5" w:rsidP="00A379C5">
      <w:pPr>
        <w:pStyle w:val="ListBullet2"/>
      </w:pPr>
      <w:r w:rsidRPr="00A379C5">
        <w:t>information provided by customer and supervisors</w:t>
      </w:r>
    </w:p>
    <w:p w:rsidR="00000000" w:rsidRPr="00A379C5" w:rsidP="00A379C5">
      <w:pPr>
        <w:pStyle w:val="ListBullet2"/>
      </w:pPr>
      <w:r w:rsidRPr="00A379C5">
        <w:t>manufacturer specifications and procedures or equivalent documentation</w:t>
      </w:r>
    </w:p>
    <w:p w:rsidR="00000000" w:rsidRPr="00A379C5" w:rsidP="00A379C5">
      <w:pPr>
        <w:pStyle w:val="ListBullet2"/>
      </w:pPr>
      <w:r w:rsidRPr="00A379C5">
        <w:t>test information and workplace ins</w:t>
      </w:r>
      <w:r w:rsidRPr="00A379C5">
        <w:t>tructions, including:</w:t>
      </w:r>
    </w:p>
    <w:p w:rsidR="00000000" w:rsidRPr="00A379C5" w:rsidP="00A379C5">
      <w:pPr>
        <w:pStyle w:val="ListBullet3"/>
      </w:pPr>
      <w:r w:rsidRPr="00A379C5">
        <w:t>category regulations and component supplier specifications, including allowable quality, materials, equipment and specifications</w:t>
      </w:r>
    </w:p>
    <w:p w:rsidR="00000000" w:rsidRPr="00A379C5" w:rsidP="00A379C5">
      <w:pPr>
        <w:pStyle w:val="ListBullet"/>
      </w:pPr>
      <w:r w:rsidRPr="00A379C5">
        <w:t>workplace procedures required to test engines using a dynamometer, including: </w:t>
      </w:r>
    </w:p>
    <w:p w:rsidR="00000000" w:rsidRPr="00A379C5" w:rsidP="00A379C5">
      <w:pPr>
        <w:pStyle w:val="ListBullet2"/>
      </w:pPr>
      <w:r w:rsidRPr="00A379C5">
        <w:t>establishing serviceability of tools and equipment</w:t>
      </w:r>
    </w:p>
    <w:p w:rsidR="00000000" w:rsidRPr="00A379C5" w:rsidP="00A379C5">
      <w:pPr>
        <w:pStyle w:val="ListBullet2"/>
      </w:pPr>
      <w:r w:rsidRPr="00A379C5">
        <w:t>documentation procedures, including:</w:t>
      </w:r>
    </w:p>
    <w:p w:rsidR="00000000" w:rsidRPr="00A379C5" w:rsidP="00A379C5">
      <w:pPr>
        <w:pStyle w:val="ListBullet3"/>
      </w:pPr>
      <w:r w:rsidRPr="00A379C5">
        <w:t>dynamometer test results</w:t>
      </w:r>
    </w:p>
    <w:p w:rsidR="00000000" w:rsidRPr="00A379C5" w:rsidP="00A379C5">
      <w:pPr>
        <w:pStyle w:val="ListBullet2"/>
      </w:pPr>
      <w:r w:rsidRPr="00A379C5">
        <w:t>housekeeping procedures, including:</w:t>
      </w:r>
    </w:p>
    <w:p w:rsidR="00000000" w:rsidRPr="00A379C5" w:rsidP="00A379C5">
      <w:pPr>
        <w:pStyle w:val="ListBullet3"/>
      </w:pPr>
      <w:r w:rsidRPr="00A379C5">
        <w:t>examination of tools and equipment</w:t>
      </w:r>
    </w:p>
    <w:p w:rsidR="00000000" w:rsidRPr="00A379C5" w:rsidP="00A379C5">
      <w:pPr>
        <w:pStyle w:val="ListBullet3"/>
      </w:pPr>
      <w:r w:rsidRPr="00A379C5">
        <w:t>storage of equipment</w:t>
      </w:r>
    </w:p>
    <w:p w:rsidR="00000000" w:rsidRPr="00A379C5" w:rsidP="00A379C5">
      <w:pPr>
        <w:pStyle w:val="ListBullet3"/>
      </w:pPr>
      <w:r w:rsidRPr="00A379C5">
        <w:t xml:space="preserve">identification, tagging and isolation of faulty </w:t>
      </w:r>
      <w:r w:rsidRPr="00A379C5">
        <w:t>equipment</w:t>
      </w:r>
    </w:p>
    <w:p w:rsidR="00000000" w:rsidRPr="00A379C5" w:rsidP="00A379C5">
      <w:pPr>
        <w:pStyle w:val="ListBullet3"/>
      </w:pPr>
      <w:r w:rsidRPr="00A379C5">
        <w:t>disposal of excess materials</w:t>
      </w:r>
    </w:p>
    <w:p w:rsidR="00000000" w:rsidRPr="00A379C5" w:rsidP="00A379C5">
      <w:pPr>
        <w:pStyle w:val="ListBullet3"/>
      </w:pPr>
      <w:r w:rsidRPr="00A379C5">
        <w:t>recycling procedures</w:t>
      </w:r>
    </w:p>
    <w:p w:rsidR="00000000" w:rsidRPr="00A379C5" w:rsidP="00A379C5">
      <w:pPr>
        <w:pStyle w:val="ListBullet"/>
      </w:pPr>
      <w:r w:rsidRPr="00A379C5">
        <w:t>work health and safety (WHS) requirements relating to testing engines using a dynamometer, including procedures for:</w:t>
      </w:r>
    </w:p>
    <w:p w:rsidR="00000000" w:rsidRPr="00A379C5" w:rsidP="00A379C5">
      <w:pPr>
        <w:pStyle w:val="ListBullet2"/>
      </w:pPr>
      <w:r w:rsidRPr="00A379C5">
        <w:t>connecting and securing engines to dynamometers</w:t>
      </w:r>
    </w:p>
    <w:p w:rsidR="00000000" w:rsidRPr="00A379C5" w:rsidP="00A379C5">
      <w:pPr>
        <w:pStyle w:val="ListBullet2"/>
      </w:pPr>
      <w:r w:rsidRPr="00A379C5">
        <w:t>dealing with exhaust gases from engines</w:t>
      </w:r>
    </w:p>
    <w:p w:rsidR="00000000" w:rsidRPr="00A379C5" w:rsidP="00A379C5">
      <w:pPr>
        <w:pStyle w:val="ListBullet2"/>
      </w:pPr>
      <w:r w:rsidRPr="00A379C5">
        <w:t>dealing with high levels of noise</w:t>
      </w:r>
    </w:p>
    <w:p w:rsidR="00000000" w:rsidRPr="00A379C5" w:rsidP="00A379C5">
      <w:pPr>
        <w:pStyle w:val="ListBullet"/>
      </w:pPr>
      <w:r w:rsidRPr="00A379C5">
        <w:t>environmental requirements, including procedures for trapping, storing and disposing of fluids released during engine testing</w:t>
      </w:r>
    </w:p>
    <w:p w:rsidR="00000000" w:rsidRPr="00A379C5" w:rsidP="00A379C5">
      <w:pPr>
        <w:pStyle w:val="ListBullet"/>
      </w:pPr>
      <w:r w:rsidRPr="00A379C5">
        <w:t>application, purpose and operation of engine dynamometers, including associated hardware and software</w:t>
      </w:r>
    </w:p>
    <w:p w:rsidR="00000000" w:rsidRPr="00A379C5" w:rsidP="00A379C5">
      <w:pPr>
        <w:pStyle w:val="ListBullet"/>
      </w:pPr>
      <w:r w:rsidRPr="00A379C5">
        <w:t>dynamometer testing parameters, including:</w:t>
      </w:r>
    </w:p>
    <w:p w:rsidR="00000000" w:rsidRPr="00A379C5" w:rsidP="00A379C5">
      <w:pPr>
        <w:pStyle w:val="ListBullet2"/>
      </w:pPr>
      <w:r w:rsidRPr="00A379C5">
        <w:t>run-in period for new engines</w:t>
      </w:r>
    </w:p>
    <w:p w:rsidR="00000000" w:rsidRPr="00A379C5" w:rsidP="00A379C5">
      <w:pPr>
        <w:pStyle w:val="ListBullet"/>
      </w:pPr>
      <w:r w:rsidRPr="00A379C5">
        <w:t>engine and chassis dynamometer testing procedures, including:</w:t>
      </w:r>
    </w:p>
    <w:p w:rsidR="00000000" w:rsidRPr="00A379C5" w:rsidP="00A379C5">
      <w:pPr>
        <w:pStyle w:val="ListBullet2"/>
      </w:pPr>
      <w:r w:rsidRPr="00A379C5">
        <w:t>dynamometer prep</w:t>
      </w:r>
      <w:r w:rsidRPr="00A379C5">
        <w:t>aration procedures</w:t>
      </w:r>
    </w:p>
    <w:p w:rsidR="00000000" w:rsidRPr="00A379C5" w:rsidP="00A379C5">
      <w:pPr>
        <w:pStyle w:val="ListBullet2"/>
      </w:pPr>
      <w:r w:rsidRPr="00A379C5">
        <w:t>engine connection and securing procedures</w:t>
      </w:r>
    </w:p>
    <w:p w:rsidR="00000000" w:rsidRPr="00A379C5" w:rsidP="00A379C5">
      <w:pPr>
        <w:pStyle w:val="ListBullet2"/>
      </w:pPr>
      <w:r w:rsidRPr="00A379C5">
        <w:t>vehicle connection and securing procedures</w:t>
      </w:r>
    </w:p>
    <w:p w:rsidR="00000000" w:rsidRPr="00A379C5" w:rsidP="00A379C5">
      <w:pPr>
        <w:pStyle w:val="ListBullet2"/>
      </w:pPr>
      <w:r w:rsidRPr="00A379C5">
        <w:t>test environment correction factors</w:t>
      </w:r>
    </w:p>
    <w:p w:rsidR="00000000" w:rsidRPr="00A379C5" w:rsidP="00A379C5">
      <w:pPr>
        <w:pStyle w:val="ListBullet2"/>
      </w:pPr>
      <w:r w:rsidRPr="00A379C5">
        <w:t>dynamometer data interpretation and analysis, including:</w:t>
      </w:r>
    </w:p>
    <w:p w:rsidR="00000000" w:rsidRPr="00A379C5" w:rsidP="00A379C5">
      <w:pPr>
        <w:pStyle w:val="ListBullet3"/>
      </w:pPr>
      <w:r w:rsidRPr="00A379C5">
        <w:t>recommendations for engine configuration and/or modificati</w:t>
      </w:r>
      <w:r w:rsidRPr="00A379C5">
        <w:t>ons to improve performance</w:t>
      </w:r>
    </w:p>
    <w:p w:rsidR="00000000" w:rsidRPr="00A379C5" w:rsidP="00A379C5">
      <w:pPr>
        <w:pStyle w:val="ListBullet"/>
      </w:pPr>
      <w:r w:rsidRPr="00A379C5">
        <w:t>required checks of engine and vehicle, including:</w:t>
      </w:r>
    </w:p>
    <w:p w:rsidR="00000000" w:rsidRPr="00A379C5" w:rsidP="00A379C5">
      <w:pPr>
        <w:pStyle w:val="ListBullet2"/>
      </w:pPr>
      <w:r w:rsidRPr="00A379C5">
        <w:t>engine oil level and condition</w:t>
      </w:r>
    </w:p>
    <w:p w:rsidR="00000000" w:rsidRPr="00A379C5" w:rsidP="00A379C5">
      <w:pPr>
        <w:pStyle w:val="ListBullet2"/>
      </w:pPr>
      <w:r w:rsidRPr="00A379C5">
        <w:t>cooling system condition and coolant level</w:t>
      </w:r>
    </w:p>
    <w:p w:rsidR="00000000" w:rsidRPr="00A379C5" w:rsidP="00A379C5">
      <w:pPr>
        <w:pStyle w:val="ListBullet2"/>
      </w:pPr>
      <w:r w:rsidRPr="00A379C5">
        <w:t>exhaust extraction system connection</w:t>
      </w:r>
    </w:p>
    <w:p w:rsidR="00000000" w:rsidRPr="00A379C5" w:rsidP="00A379C5">
      <w:pPr>
        <w:pStyle w:val="ListBullet2"/>
      </w:pPr>
      <w:r w:rsidRPr="00A379C5">
        <w:t>drive shaft condition and connection</w:t>
      </w:r>
    </w:p>
    <w:p w:rsidR="00000000" w:rsidRPr="00A379C5" w:rsidP="00A379C5">
      <w:pPr>
        <w:pStyle w:val="ListBullet"/>
      </w:pPr>
      <w:r w:rsidRPr="00A379C5">
        <w:t>operator dynamometer maintenance procedures</w:t>
      </w:r>
    </w:p>
    <w:p w:rsidR="00000000" w:rsidRPr="00A379C5" w:rsidP="00A379C5">
      <w:pPr>
        <w:pStyle w:val="ListBullet"/>
      </w:pPr>
      <w:r w:rsidRPr="00A379C5">
        <w:t>engine performance and dynamometer terminology.</w:t>
      </w:r>
    </w:p>
    <w:p w:rsidR="00000000" w:rsidRPr="00A379C5" w:rsidP="00A379C5">
      <w:pPr>
        <w:pStyle w:val="AllowPageBreak"/>
      </w:pPr>
    </w:p>
    <w:p w:rsidR="00000000" w:rsidRPr="00A379C5" w:rsidP="00A379C5">
      <w:pPr>
        <w:pStyle w:val="Heading1"/>
      </w:pPr>
      <w:bookmarkStart w:id="4" w:name="O_1128743"/>
      <w:bookmarkEnd w:id="4"/>
      <w:r w:rsidRPr="00A379C5">
        <w:t>Assessment Conditions</w:t>
      </w:r>
    </w:p>
    <w:p w:rsidR="00000000" w:rsidRPr="00A379C5" w:rsidP="00770EFB">
      <w:pPr>
        <w:pStyle w:val="BodyText"/>
      </w:pPr>
      <w:r w:rsidRPr="00A379C5">
        <w:t>Competency is to be assessed in the workplace or a simulated environmen</w:t>
      </w:r>
      <w:r w:rsidRPr="00A379C5">
        <w:t>t that accurately reflects performance in a real workplace setting.</w:t>
      </w:r>
    </w:p>
    <w:p w:rsidR="00000000" w:rsidRPr="00A379C5" w:rsidP="00770EFB">
      <w:pPr>
        <w:pStyle w:val="BodyText"/>
      </w:pPr>
      <w:r w:rsidRPr="00A379C5">
        <w:t>Assessment must include direct observation of tasks.</w:t>
      </w:r>
    </w:p>
    <w:p w:rsidR="00000000" w:rsidRPr="00A379C5" w:rsidP="00770EFB">
      <w:pPr>
        <w:pStyle w:val="BodyText"/>
      </w:pPr>
      <w:r w:rsidRPr="00A379C5">
        <w:t>Where assessment of competency includes third-party evidence, individuals must provide evidence that links them to the engines that the</w:t>
      </w:r>
      <w:r w:rsidRPr="00A379C5">
        <w:t>y have tested using a dynamometer, e.g. repair orders.</w:t>
      </w:r>
    </w:p>
    <w:p w:rsidR="00000000" w:rsidRPr="00A379C5" w:rsidP="00770EFB">
      <w:pPr>
        <w:pStyle w:val="BodyText"/>
      </w:pPr>
      <w:r w:rsidRPr="00A379C5">
        <w:t>Assessors must verify performance evidence through questioning on skills and knowledge to ensure correct interpretation and application.</w:t>
      </w:r>
    </w:p>
    <w:p w:rsidR="00000000" w:rsidRPr="00A379C5" w:rsidP="00770EFB">
      <w:pPr>
        <w:pStyle w:val="BodyText"/>
      </w:pPr>
      <w:r w:rsidRPr="00A379C5">
        <w:t>The following resources must be made available:</w:t>
      </w:r>
    </w:p>
    <w:p w:rsidR="00000000" w:rsidRPr="00A379C5" w:rsidP="00A379C5">
      <w:pPr>
        <w:pStyle w:val="ListBullet"/>
      </w:pPr>
      <w:r w:rsidRPr="00A379C5">
        <w:t>automotive repa</w:t>
      </w:r>
      <w:r w:rsidRPr="00A379C5">
        <w:t>ir workplace or simulated workplace</w:t>
      </w:r>
    </w:p>
    <w:p w:rsidR="00000000" w:rsidRPr="00A379C5" w:rsidP="00A379C5">
      <w:pPr>
        <w:pStyle w:val="ListBullet"/>
      </w:pPr>
      <w:r w:rsidRPr="00A379C5">
        <w:t>workplace instructions</w:t>
      </w:r>
    </w:p>
    <w:p w:rsidR="00000000" w:rsidRPr="00A379C5" w:rsidP="00A379C5">
      <w:pPr>
        <w:pStyle w:val="ListBullet"/>
      </w:pPr>
      <w:r w:rsidRPr="00A379C5">
        <w:t>two different engines requiring testing using a dynamometer</w:t>
      </w:r>
    </w:p>
    <w:p w:rsidR="00000000" w:rsidRPr="00A379C5" w:rsidP="00A379C5">
      <w:pPr>
        <w:pStyle w:val="ListBullet"/>
      </w:pPr>
      <w:r w:rsidRPr="00A379C5">
        <w:t>engine or chassis dynamometer</w:t>
      </w:r>
    </w:p>
    <w:p w:rsidR="00000000" w:rsidRPr="00A379C5" w:rsidP="00A379C5">
      <w:pPr>
        <w:pStyle w:val="ListBullet"/>
      </w:pPr>
      <w:r w:rsidRPr="00A379C5">
        <w:t>tools and equipment appropriate for connecting, securing and disconnecting engines to dynamometers.</w:t>
      </w:r>
    </w:p>
    <w:p w:rsidR="00000000" w:rsidRPr="00A379C5" w:rsidP="00A379C5">
      <w:pPr>
        <w:pStyle w:val="List"/>
      </w:pPr>
    </w:p>
    <w:p w:rsidR="00000000" w:rsidRPr="00A379C5" w:rsidP="00770EFB">
      <w:pPr>
        <w:pStyle w:val="BodyText"/>
      </w:pPr>
      <w:r w:rsidRPr="00A379C5">
        <w:t>Assess</w:t>
      </w:r>
      <w:r w:rsidRPr="00A379C5">
        <w:t>ors of this unit must satisfy the requirements for assessors in applicable vocational education and training legislation, frameworks and/or standards.</w:t>
      </w:r>
    </w:p>
    <w:p w:rsidR="00000000" w:rsidRPr="00A379C5" w:rsidP="00A379C5">
      <w:pPr>
        <w:pStyle w:val="Heading1"/>
      </w:pPr>
      <w:bookmarkStart w:id="5" w:name="O_1128741"/>
      <w:bookmarkEnd w:id="5"/>
      <w:r w:rsidRPr="00A379C5">
        <w:t>Links</w:t>
      </w:r>
    </w:p>
    <w:p w:rsidR="00000000" w:rsidRPr="00A379C5" w:rsidP="00770EFB">
      <w:pPr>
        <w:pStyle w:val="BodyText"/>
      </w:pPr>
      <w:r w:rsidRPr="00A379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B1CB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79C5" w:rsidP="00A379C5"/>
    <w:sectPr w:rsidSect="00A37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C5" w:rsidRPr="00770EFB" w:rsidP="00770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FB" w:rsidP="00A37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EFB" w:rsidP="00A37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0EFB" w:rsidP="00A37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9C5" w:rsidRPr="00770EFB" w:rsidP="00770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FB" w:rsidRPr="002D2AF8" w:rsidP="00A37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AURMTE101 Test engines using a dynamometer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70EFB" w:rsidP="00A37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AAD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089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0A5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9C5"/>
  </w:style>
  <w:style w:type="character" w:customStyle="1" w:styleId="Heading1Char">
    <w:name w:val="Heading 1 Char"/>
    <w:basedOn w:val="DefaultParagraphFont"/>
    <w:link w:val="Heading1"/>
    <w:rsid w:val="00A37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9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79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79C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9C5"/>
    <w:rPr>
      <w:b/>
      <w:spacing w:val="0"/>
    </w:rPr>
  </w:style>
  <w:style w:type="paragraph" w:styleId="ListBullet2">
    <w:name w:val="List Bullet 2"/>
    <w:basedOn w:val="List2"/>
    <w:rsid w:val="00A379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7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79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7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9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7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9C5"/>
    <w:rPr>
      <w:i/>
    </w:rPr>
  </w:style>
  <w:style w:type="paragraph" w:styleId="Caption">
    <w:name w:val="caption"/>
    <w:basedOn w:val="BodyText"/>
    <w:next w:val="Normal"/>
    <w:qFormat/>
    <w:rsid w:val="00A37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9C5"/>
  </w:style>
  <w:style w:type="paragraph" w:styleId="TableofFigures">
    <w:name w:val="table of figures"/>
    <w:basedOn w:val="Normal"/>
    <w:next w:val="Normal"/>
    <w:semiHidden/>
    <w:rsid w:val="00A37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9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79C5"/>
    <w:rPr>
      <w:rFonts w:ascii="Wingdings" w:hAnsi="Wingdings"/>
    </w:rPr>
  </w:style>
  <w:style w:type="paragraph" w:customStyle="1" w:styleId="TableHeading">
    <w:name w:val="Table Heading"/>
    <w:basedOn w:val="HeadingBase"/>
    <w:rsid w:val="00A37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9C5"/>
    <w:rPr>
      <w:color w:val="0033CC"/>
      <w:u w:val="none"/>
    </w:rPr>
  </w:style>
  <w:style w:type="paragraph" w:customStyle="1" w:styleId="BodyTextRight">
    <w:name w:val="Body Text Right"/>
    <w:basedOn w:val="BodyText"/>
    <w:rsid w:val="00A37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9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9C5"/>
    <w:rPr>
      <w:sz w:val="32"/>
    </w:rPr>
  </w:style>
  <w:style w:type="paragraph" w:customStyle="1" w:styleId="HeadingProcedure">
    <w:name w:val="Heading Procedure"/>
    <w:basedOn w:val="HeadingBase"/>
    <w:next w:val="Normal"/>
    <w:rsid w:val="00A37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9C5"/>
    <w:pPr>
      <w:spacing w:before="60" w:after="60"/>
    </w:pPr>
  </w:style>
  <w:style w:type="paragraph" w:styleId="ListContinue">
    <w:name w:val="List Continue"/>
    <w:basedOn w:val="List"/>
    <w:rsid w:val="00A379C5"/>
    <w:pPr>
      <w:ind w:firstLine="0"/>
    </w:pPr>
  </w:style>
  <w:style w:type="paragraph" w:customStyle="1" w:styleId="ListNote">
    <w:name w:val="List Note"/>
    <w:basedOn w:val="List"/>
    <w:rsid w:val="00A37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9C5"/>
    <w:rPr>
      <w:rFonts w:ascii="Courier New" w:hAnsi="Courier New"/>
    </w:rPr>
  </w:style>
  <w:style w:type="paragraph" w:customStyle="1" w:styleId="NoteBullet">
    <w:name w:val="Note Bullet"/>
    <w:basedOn w:val="Note"/>
    <w:rsid w:val="00A37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9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7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9C5"/>
    <w:rPr>
      <w:b/>
      <w:smallCaps/>
    </w:rPr>
  </w:style>
  <w:style w:type="paragraph" w:customStyle="1" w:styleId="TableListNumber">
    <w:name w:val="Table List Number"/>
    <w:basedOn w:val="ListNumber"/>
    <w:rsid w:val="00A37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9C5"/>
    <w:pPr>
      <w:numPr>
        <w:numId w:val="10"/>
      </w:numPr>
    </w:pPr>
  </w:style>
  <w:style w:type="paragraph" w:customStyle="1" w:styleId="ListAlpha2">
    <w:name w:val="List Alpha 2"/>
    <w:basedOn w:val="List2"/>
    <w:rsid w:val="00A379C5"/>
    <w:pPr>
      <w:numPr>
        <w:numId w:val="9"/>
      </w:numPr>
    </w:pPr>
  </w:style>
  <w:style w:type="paragraph" w:styleId="List2">
    <w:name w:val="List 2"/>
    <w:basedOn w:val="BodyText"/>
    <w:rsid w:val="00A37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9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79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79C5"/>
    <w:pPr>
      <w:numPr>
        <w:numId w:val="5"/>
      </w:numPr>
    </w:pPr>
  </w:style>
  <w:style w:type="paragraph" w:styleId="ListContinue2">
    <w:name w:val="List Continue 2"/>
    <w:basedOn w:val="List2"/>
    <w:rsid w:val="00A379C5"/>
    <w:pPr>
      <w:ind w:firstLine="0"/>
    </w:pPr>
  </w:style>
  <w:style w:type="paragraph" w:styleId="ListContinue3">
    <w:name w:val="List Continue 3"/>
    <w:basedOn w:val="List3"/>
    <w:rsid w:val="00A379C5"/>
    <w:pPr>
      <w:ind w:left="1021" w:firstLine="0"/>
    </w:pPr>
  </w:style>
  <w:style w:type="paragraph" w:styleId="ListContinue4">
    <w:name w:val="List Continue 4"/>
    <w:basedOn w:val="List4"/>
    <w:rsid w:val="00A379C5"/>
    <w:pPr>
      <w:ind w:firstLine="0"/>
    </w:pPr>
  </w:style>
  <w:style w:type="paragraph" w:styleId="ListContinue5">
    <w:name w:val="List Continue 5"/>
    <w:basedOn w:val="List5"/>
    <w:rsid w:val="00A379C5"/>
    <w:pPr>
      <w:ind w:firstLine="0"/>
    </w:pPr>
  </w:style>
  <w:style w:type="paragraph" w:styleId="ListNumber3">
    <w:name w:val="List Number 3"/>
    <w:basedOn w:val="List3"/>
    <w:rsid w:val="00A379C5"/>
    <w:pPr>
      <w:numPr>
        <w:numId w:val="6"/>
      </w:numPr>
    </w:pPr>
  </w:style>
  <w:style w:type="paragraph" w:styleId="ListNumber4">
    <w:name w:val="List Number 4"/>
    <w:basedOn w:val="List4"/>
    <w:rsid w:val="00A379C5"/>
    <w:pPr>
      <w:numPr>
        <w:numId w:val="7"/>
      </w:numPr>
    </w:pPr>
  </w:style>
  <w:style w:type="paragraph" w:styleId="ListNumber5">
    <w:name w:val="List Number 5"/>
    <w:basedOn w:val="List5"/>
    <w:rsid w:val="00A379C5"/>
    <w:pPr>
      <w:numPr>
        <w:numId w:val="8"/>
      </w:numPr>
    </w:pPr>
  </w:style>
  <w:style w:type="paragraph" w:styleId="BlockText">
    <w:name w:val="Block Text"/>
    <w:basedOn w:val="Normal"/>
    <w:rsid w:val="00A37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9C5"/>
    <w:rPr>
      <w:sz w:val="16"/>
      <w:vertAlign w:val="superscript"/>
    </w:rPr>
  </w:style>
  <w:style w:type="character" w:customStyle="1" w:styleId="Symbols">
    <w:name w:val="Symbols"/>
    <w:basedOn w:val="DefaultParagraphFont"/>
    <w:rsid w:val="00A379C5"/>
    <w:rPr>
      <w:rFonts w:ascii="Symbol" w:hAnsi="Symbol"/>
    </w:rPr>
  </w:style>
  <w:style w:type="character" w:customStyle="1" w:styleId="MenuOptions">
    <w:name w:val="Menu Options"/>
    <w:basedOn w:val="DefaultParagraphFont"/>
    <w:rsid w:val="00A37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9C5"/>
    <w:rPr>
      <w:b/>
    </w:rPr>
  </w:style>
  <w:style w:type="character" w:customStyle="1" w:styleId="Underlined">
    <w:name w:val="Underlined"/>
    <w:basedOn w:val="DefaultParagraphFont"/>
    <w:rsid w:val="00A379C5"/>
    <w:rPr>
      <w:u w:val="single"/>
    </w:rPr>
  </w:style>
  <w:style w:type="paragraph" w:customStyle="1" w:styleId="TableBodyTextRight">
    <w:name w:val="Table Body Text Right"/>
    <w:basedOn w:val="TableBodyText"/>
    <w:rsid w:val="00A37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9C5"/>
    <w:rPr>
      <w:sz w:val="18"/>
    </w:rPr>
  </w:style>
  <w:style w:type="paragraph" w:customStyle="1" w:styleId="BodySmallRight">
    <w:name w:val="Body Small Right"/>
    <w:basedOn w:val="BodyTextRight"/>
    <w:rsid w:val="00A379C5"/>
    <w:rPr>
      <w:sz w:val="18"/>
      <w:szCs w:val="18"/>
    </w:rPr>
  </w:style>
  <w:style w:type="paragraph" w:customStyle="1" w:styleId="MarginEdition">
    <w:name w:val="Margin Edition"/>
    <w:basedOn w:val="MarginNote"/>
    <w:rsid w:val="00A37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9C5"/>
    <w:rPr>
      <w:sz w:val="2"/>
      <w:szCs w:val="2"/>
    </w:rPr>
  </w:style>
  <w:style w:type="character" w:customStyle="1" w:styleId="Small">
    <w:name w:val="Small"/>
    <w:basedOn w:val="DefaultParagraphFont"/>
    <w:rsid w:val="00A379C5"/>
    <w:rPr>
      <w:sz w:val="16"/>
    </w:rPr>
  </w:style>
  <w:style w:type="paragraph" w:customStyle="1" w:styleId="WideTable">
    <w:name w:val="Wide Table"/>
    <w:basedOn w:val="Normal"/>
    <w:rsid w:val="00A37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9C5"/>
  </w:style>
  <w:style w:type="paragraph" w:styleId="Quote">
    <w:name w:val="Quote"/>
    <w:basedOn w:val="Heading1"/>
    <w:link w:val="QuoteChar"/>
    <w:qFormat/>
    <w:rsid w:val="00A37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9C5"/>
    <w:pPr>
      <w:pageBreakBefore/>
    </w:pPr>
  </w:style>
  <w:style w:type="paragraph" w:customStyle="1" w:styleId="Border">
    <w:name w:val="Border"/>
    <w:basedOn w:val="Normal"/>
    <w:qFormat/>
    <w:rsid w:val="00A37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9C5"/>
    <w:rPr>
      <w:u w:val="single"/>
    </w:rPr>
  </w:style>
  <w:style w:type="character" w:customStyle="1" w:styleId="BoldandItalics">
    <w:name w:val="Bold and Italics"/>
    <w:qFormat/>
    <w:rsid w:val="00A379C5"/>
    <w:rPr>
      <w:b/>
      <w:i/>
      <w:u w:val="none"/>
    </w:rPr>
  </w:style>
  <w:style w:type="paragraph" w:styleId="BalloonText">
    <w:name w:val="Balloon Text"/>
    <w:basedOn w:val="Normal"/>
    <w:link w:val="BalloonTextChar"/>
    <w:rsid w:val="00A37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9C5"/>
    <w:pPr>
      <w:spacing w:before="0" w:after="0"/>
    </w:pPr>
  </w:style>
  <w:style w:type="paragraph" w:customStyle="1" w:styleId="BodyTextBold">
    <w:name w:val="Body Text Bold"/>
    <w:basedOn w:val="BodyText"/>
    <w:qFormat/>
    <w:rsid w:val="00A379C5"/>
    <w:rPr>
      <w:b/>
    </w:rPr>
  </w:style>
  <w:style w:type="character" w:styleId="Hyperlink">
    <w:name w:val="Hyperlink"/>
    <w:basedOn w:val="DefaultParagraphFont"/>
    <w:uiPriority w:val="99"/>
    <w:unhideWhenUsed/>
    <w:rsid w:val="00770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3595</Characters>
  <Application>Microsoft Office Word</Application>
  <DocSecurity>0</DocSecurity>
  <Lines>92</Lines>
  <Paragraphs>74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AURMTE101 Test engines using a dynamometer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2022-02-23T11:36:00Z</dcterms:created>
  <dcterms:modified xsi:type="dcterms:W3CDTF">2022-02-23T11:36:00Z</dcterms:modified>
</cp:coreProperties>
</file>