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29E1" w:rsidP="004529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AURMTE001 Test engines using a dynamometer</w:t>
      </w:r>
      <w:r>
        <w:fldChar w:fldCharType="end"/>
      </w:r>
    </w:p>
    <w:p w:rsidR="004529E1" w:rsidP="004529E1">
      <w:pPr>
        <w:pStyle w:val="Version"/>
        <w:sectPr w:rsidSect="005F29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291B" w:rsidP="005F291B">
      <w:pPr>
        <w:pStyle w:val="SuperHeading"/>
      </w:pPr>
      <w:r w:rsidRPr="005F291B">
        <w:t>Assessment Requirements for AURMTE001 Test engines using a dynamometer</w:t>
      </w:r>
    </w:p>
    <w:p w:rsidR="00000000" w:rsidRPr="005F291B" w:rsidP="005F291B">
      <w:pPr>
        <w:pStyle w:val="Heading1"/>
      </w:pPr>
      <w:bookmarkStart w:id="1" w:name="O_802966"/>
      <w:bookmarkEnd w:id="1"/>
      <w:r w:rsidRPr="005F291B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529E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91B" w:rsidP="005F291B">
            <w:pPr>
              <w:pStyle w:val="BodyText"/>
            </w:pPr>
            <w:r w:rsidRPr="005F291B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91B">
            <w:pPr>
              <w:pStyle w:val="BodyText"/>
              <w:rPr>
                <w:lang w:val="en-NZ"/>
              </w:rPr>
            </w:pPr>
            <w:r w:rsidRPr="005F291B">
              <w:rPr>
                <w:rStyle w:val="SpecialBold"/>
              </w:rPr>
              <w:t>Comment</w:t>
            </w:r>
          </w:p>
        </w:tc>
      </w:tr>
      <w:tr w:rsidTr="004529E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91B">
            <w:pPr>
              <w:pStyle w:val="BodyText"/>
              <w:rPr>
                <w:lang w:val="en-NZ"/>
              </w:rPr>
            </w:pPr>
            <w:r w:rsidRPr="005F291B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91B" w:rsidP="005F291B">
            <w:pPr>
              <w:pStyle w:val="BodyText"/>
            </w:pPr>
            <w:r w:rsidRPr="005F291B">
              <w:t>New unit of competency.</w:t>
            </w:r>
          </w:p>
        </w:tc>
      </w:tr>
    </w:tbl>
    <w:p w:rsidR="00000000" w:rsidRPr="005F291B" w:rsidP="005F291B">
      <w:pPr>
        <w:pStyle w:val="BodyText"/>
      </w:pPr>
    </w:p>
    <w:p w:rsidR="00000000" w:rsidRPr="005F291B" w:rsidP="005F291B">
      <w:pPr>
        <w:pStyle w:val="AllowPageBreak"/>
      </w:pPr>
    </w:p>
    <w:p w:rsidR="00000000" w:rsidRPr="005F291B" w:rsidP="005F291B">
      <w:pPr>
        <w:pStyle w:val="Heading1"/>
      </w:pPr>
      <w:bookmarkStart w:id="2" w:name="O_802967"/>
      <w:bookmarkEnd w:id="2"/>
      <w:r w:rsidRPr="005F291B">
        <w:t>Performance Evidence</w:t>
      </w:r>
    </w:p>
    <w:p w:rsidR="00000000" w:rsidRPr="005F291B" w:rsidP="004529E1">
      <w:pPr>
        <w:pStyle w:val="BodyText"/>
      </w:pPr>
      <w:r w:rsidRPr="005F291B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5F291B" w:rsidP="005F291B">
      <w:pPr>
        <w:pStyle w:val="ListBullet"/>
      </w:pPr>
      <w:r w:rsidRPr="005F291B">
        <w:t xml:space="preserve">carry out dynamometer testing on </w:t>
      </w:r>
      <w:r w:rsidRPr="005F291B">
        <w:t>two different engines.</w:t>
      </w:r>
    </w:p>
    <w:p w:rsidR="00000000" w:rsidRPr="005F291B" w:rsidP="005F291B">
      <w:pPr>
        <w:pStyle w:val="AllowPageBreak"/>
      </w:pPr>
    </w:p>
    <w:p w:rsidR="00000000" w:rsidRPr="005F291B" w:rsidP="005F291B">
      <w:pPr>
        <w:pStyle w:val="Heading1"/>
      </w:pPr>
      <w:bookmarkStart w:id="3" w:name="O_802968"/>
      <w:bookmarkEnd w:id="3"/>
      <w:r w:rsidRPr="005F291B">
        <w:t>Knowledge Evidence</w:t>
      </w:r>
    </w:p>
    <w:p w:rsidR="00000000" w:rsidRPr="005F291B" w:rsidP="004529E1">
      <w:pPr>
        <w:pStyle w:val="BodyText"/>
      </w:pPr>
      <w:r w:rsidRPr="005F291B">
        <w:t>Individuals must be able to demonstrate knowledge of:</w:t>
      </w:r>
    </w:p>
    <w:p w:rsidR="00000000" w:rsidRPr="005F291B" w:rsidP="005F291B">
      <w:pPr>
        <w:pStyle w:val="ListBullet"/>
      </w:pPr>
      <w:r w:rsidRPr="005F291B">
        <w:t xml:space="preserve">work health and safety (WHS) and occupational health and safety (OHS) requirements relating </w:t>
      </w:r>
      <w:r w:rsidRPr="005F291B">
        <w:t>to testing engines using a dynamometer, including procedures for:</w:t>
      </w:r>
    </w:p>
    <w:p w:rsidR="00000000" w:rsidRPr="005F291B" w:rsidP="005F291B">
      <w:pPr>
        <w:pStyle w:val="ListBullet2"/>
      </w:pPr>
      <w:r w:rsidRPr="005F291B">
        <w:t>connecting and securing engines to dynamometers</w:t>
      </w:r>
    </w:p>
    <w:p w:rsidR="00000000" w:rsidRPr="005F291B" w:rsidP="005F291B">
      <w:pPr>
        <w:pStyle w:val="ListBullet2"/>
      </w:pPr>
      <w:r w:rsidRPr="005F291B">
        <w:t>dealing with exhaust gases from engines</w:t>
      </w:r>
    </w:p>
    <w:p w:rsidR="00000000" w:rsidRPr="005F291B" w:rsidP="005F291B">
      <w:pPr>
        <w:pStyle w:val="ListBullet2"/>
      </w:pPr>
      <w:r w:rsidRPr="005F291B">
        <w:t>dealing with high levels of noise</w:t>
      </w:r>
    </w:p>
    <w:p w:rsidR="00000000" w:rsidRPr="005F291B" w:rsidP="005F291B">
      <w:pPr>
        <w:pStyle w:val="ListBullet"/>
      </w:pPr>
      <w:r w:rsidRPr="005F291B">
        <w:t>environmental requirements, including procedures for trapping, sto</w:t>
      </w:r>
      <w:r w:rsidRPr="005F291B">
        <w:t>ring and disposing of fluids released during engine testing</w:t>
      </w:r>
    </w:p>
    <w:p w:rsidR="00000000" w:rsidRPr="005F291B" w:rsidP="005F291B">
      <w:pPr>
        <w:pStyle w:val="ListBullet"/>
      </w:pPr>
      <w:r w:rsidRPr="005F291B">
        <w:t>application, purpose and operation of engine dynamometers, including associated hardware and software</w:t>
      </w:r>
    </w:p>
    <w:p w:rsidR="00000000" w:rsidRPr="005F291B" w:rsidP="005F291B">
      <w:pPr>
        <w:pStyle w:val="ListBullet"/>
      </w:pPr>
      <w:r w:rsidRPr="005F291B">
        <w:t>engine and chassis dynamometer testing procedures, including:</w:t>
      </w:r>
    </w:p>
    <w:p w:rsidR="00000000" w:rsidRPr="005F291B" w:rsidP="005F291B">
      <w:pPr>
        <w:pStyle w:val="ListBullet2"/>
      </w:pPr>
      <w:r w:rsidRPr="005F291B">
        <w:t>dynamometer preparation procedu</w:t>
      </w:r>
      <w:r w:rsidRPr="005F291B">
        <w:t>res</w:t>
      </w:r>
    </w:p>
    <w:p w:rsidR="00000000" w:rsidRPr="005F291B" w:rsidP="005F291B">
      <w:pPr>
        <w:pStyle w:val="ListBullet2"/>
      </w:pPr>
      <w:r w:rsidRPr="005F291B">
        <w:t>engine connection and securing procedures</w:t>
      </w:r>
    </w:p>
    <w:p w:rsidR="00000000" w:rsidRPr="005F291B" w:rsidP="005F291B">
      <w:pPr>
        <w:pStyle w:val="ListBullet2"/>
      </w:pPr>
      <w:r w:rsidRPr="005F291B">
        <w:t>vehicle connection and securing procedures</w:t>
      </w:r>
    </w:p>
    <w:p w:rsidR="00000000" w:rsidRPr="005F291B" w:rsidP="005F291B">
      <w:pPr>
        <w:pStyle w:val="ListBullet2"/>
      </w:pPr>
      <w:r w:rsidRPr="005F291B">
        <w:t>test environment correction factors</w:t>
      </w:r>
    </w:p>
    <w:p w:rsidR="00000000" w:rsidRPr="005F291B" w:rsidP="005F291B">
      <w:pPr>
        <w:pStyle w:val="ListBullet2"/>
      </w:pPr>
      <w:r w:rsidRPr="005F291B">
        <w:t>dynamometer data interpretation and analysis</w:t>
      </w:r>
    </w:p>
    <w:p w:rsidR="00000000" w:rsidRPr="005F291B" w:rsidP="005F291B">
      <w:pPr>
        <w:pStyle w:val="ListBullet"/>
      </w:pPr>
      <w:r w:rsidRPr="005F291B">
        <w:t>operator dynamometer maintenance procedures</w:t>
      </w:r>
    </w:p>
    <w:p w:rsidR="00000000" w:rsidRPr="005F291B" w:rsidP="005F291B">
      <w:pPr>
        <w:pStyle w:val="ListBullet"/>
      </w:pPr>
      <w:r w:rsidRPr="005F291B">
        <w:t>engine performance and dynamometer terminology.</w:t>
      </w:r>
    </w:p>
    <w:p w:rsidR="00000000" w:rsidRPr="005F291B" w:rsidP="005F291B">
      <w:pPr>
        <w:pStyle w:val="AllowPageBreak"/>
      </w:pPr>
    </w:p>
    <w:p w:rsidR="00000000" w:rsidRPr="005F291B" w:rsidP="005F291B">
      <w:pPr>
        <w:pStyle w:val="Heading1"/>
      </w:pPr>
      <w:bookmarkStart w:id="4" w:name="O_802969"/>
      <w:bookmarkEnd w:id="4"/>
      <w:r w:rsidRPr="005F291B">
        <w:t>Assessment Conditions</w:t>
      </w:r>
    </w:p>
    <w:p w:rsidR="00000000" w:rsidRPr="005F291B" w:rsidP="004529E1">
      <w:pPr>
        <w:pStyle w:val="BodyText"/>
      </w:pPr>
      <w:r w:rsidRPr="005F291B">
        <w:t>Assessors must satisfy NVR/AQTF assessor requirements.</w:t>
      </w:r>
    </w:p>
    <w:p w:rsidR="00000000" w:rsidRPr="005F291B" w:rsidP="004529E1">
      <w:pPr>
        <w:pStyle w:val="BodyText"/>
      </w:pPr>
      <w:r w:rsidRPr="005F291B">
        <w:t xml:space="preserve">Competency is to be assessed in the workplace or a simulated environment that accurately reflects performance in </w:t>
      </w:r>
      <w:r w:rsidRPr="005F291B">
        <w:t>a real workplace setting.</w:t>
      </w:r>
    </w:p>
    <w:p w:rsidR="00000000" w:rsidRPr="005F291B" w:rsidP="004529E1">
      <w:pPr>
        <w:pStyle w:val="BodyText"/>
      </w:pPr>
      <w:r w:rsidRPr="005F291B">
        <w:t>Assessment must include direct observation of tasks.</w:t>
      </w:r>
    </w:p>
    <w:p w:rsidR="00000000" w:rsidRPr="005F291B" w:rsidP="004529E1">
      <w:pPr>
        <w:pStyle w:val="BodyText"/>
      </w:pPr>
      <w:r w:rsidRPr="005F291B">
        <w:t xml:space="preserve">Where assessment of competency includes third-party evidence, individuals must provide evidence that links them to the engines that they have tested using a dynamometer, e.g. </w:t>
      </w:r>
      <w:r w:rsidRPr="005F291B">
        <w:t>repair orders.</w:t>
      </w:r>
    </w:p>
    <w:p w:rsidR="00000000" w:rsidRPr="005F291B" w:rsidP="004529E1">
      <w:pPr>
        <w:pStyle w:val="BodyText"/>
      </w:pPr>
      <w:r w:rsidRPr="005F291B">
        <w:t>Assessors must verify performance evidence through questioning on skills and knowledge to ensure correct interpretation and application.</w:t>
      </w:r>
    </w:p>
    <w:p w:rsidR="00000000" w:rsidRPr="005F291B" w:rsidP="004529E1">
      <w:pPr>
        <w:pStyle w:val="BodyText"/>
      </w:pPr>
      <w:r w:rsidRPr="005F291B">
        <w:t>The following resources must be made available:</w:t>
      </w:r>
    </w:p>
    <w:p w:rsidR="00000000" w:rsidRPr="005F291B" w:rsidP="005F291B">
      <w:pPr>
        <w:pStyle w:val="ListBullet"/>
      </w:pPr>
      <w:r w:rsidRPr="005F291B">
        <w:t>automotive repair workplace or simulated workplace</w:t>
      </w:r>
    </w:p>
    <w:p w:rsidR="00000000" w:rsidRPr="005F291B" w:rsidP="005F291B">
      <w:pPr>
        <w:pStyle w:val="ListBullet"/>
      </w:pPr>
      <w:r w:rsidRPr="005F291B">
        <w:t>workplace instructions</w:t>
      </w:r>
    </w:p>
    <w:p w:rsidR="00000000" w:rsidRPr="005F291B" w:rsidP="005F291B">
      <w:pPr>
        <w:pStyle w:val="ListBullet"/>
      </w:pPr>
      <w:r w:rsidRPr="005F291B">
        <w:t>two different engines requiring testing using a dynamometer</w:t>
      </w:r>
    </w:p>
    <w:p w:rsidR="00000000" w:rsidRPr="005F291B" w:rsidP="005F291B">
      <w:pPr>
        <w:pStyle w:val="ListBullet"/>
      </w:pPr>
      <w:r w:rsidRPr="005F291B">
        <w:t>engine or chassis dynamometer</w:t>
      </w:r>
    </w:p>
    <w:p w:rsidR="00000000" w:rsidRPr="005F291B" w:rsidP="005F291B">
      <w:pPr>
        <w:pStyle w:val="ListBullet"/>
      </w:pPr>
      <w:r w:rsidRPr="005F291B">
        <w:t>tools and equipment appropriate for connecting, securing and disconnecting engines to dynamometers.</w:t>
      </w:r>
    </w:p>
    <w:p w:rsidR="00000000" w:rsidRPr="005F291B" w:rsidP="005F291B">
      <w:pPr>
        <w:pStyle w:val="AllowPageBreak"/>
      </w:pPr>
    </w:p>
    <w:p w:rsidR="00000000" w:rsidRPr="005F291B" w:rsidP="005F291B">
      <w:pPr>
        <w:pStyle w:val="Heading1"/>
      </w:pPr>
      <w:bookmarkStart w:id="5" w:name="O_802972"/>
      <w:bookmarkEnd w:id="5"/>
      <w:r w:rsidRPr="005F291B">
        <w:t>Links</w:t>
      </w:r>
    </w:p>
    <w:p w:rsidR="00000000" w:rsidRPr="005F291B" w:rsidP="004529E1">
      <w:pPr>
        <w:pStyle w:val="BodyText"/>
      </w:pPr>
      <w:r w:rsidRPr="005F291B">
        <w:t>Companion Volume imp</w:t>
      </w:r>
      <w:r w:rsidRPr="005F291B">
        <w:t xml:space="preserve">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647E2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F291B" w:rsidP="004529E1">
      <w:pPr>
        <w:pStyle w:val="BodyText"/>
      </w:pPr>
      <w:r w:rsidRPr="005F291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647E2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F291B" w:rsidP="005F291B"/>
    <w:sectPr w:rsidSect="005F29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9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91B" w:rsidRPr="004529E1" w:rsidP="004529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9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9E1" w:rsidP="005F29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529E1" w:rsidP="005F29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4529E1" w:rsidP="005F29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9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9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291B" w:rsidRPr="004529E1" w:rsidP="004529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9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9E1" w:rsidRPr="002D2AF8" w:rsidP="005F29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AURMTE001 Test engines using a dynamometer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4529E1" w:rsidP="005F29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040F3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F681A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2D490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29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29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29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29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29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29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29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29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29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29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29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291B"/>
  </w:style>
  <w:style w:type="character" w:customStyle="1" w:styleId="Heading1Char">
    <w:name w:val="Heading 1 Char"/>
    <w:basedOn w:val="DefaultParagraphFont"/>
    <w:link w:val="Heading1"/>
    <w:rsid w:val="005F29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29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29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291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291B"/>
    <w:rPr>
      <w:b/>
      <w:spacing w:val="0"/>
    </w:rPr>
  </w:style>
  <w:style w:type="paragraph" w:styleId="ListBullet2">
    <w:name w:val="List Bullet 2"/>
    <w:basedOn w:val="List2"/>
    <w:rsid w:val="005F291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F29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29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29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29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29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29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29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29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29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29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29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29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29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29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29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29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29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29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29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29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29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29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29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29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29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29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29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29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29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29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29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29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29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29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291B"/>
    <w:rPr>
      <w:i/>
    </w:rPr>
  </w:style>
  <w:style w:type="paragraph" w:styleId="Caption">
    <w:name w:val="caption"/>
    <w:basedOn w:val="BodyText"/>
    <w:next w:val="Normal"/>
    <w:qFormat/>
    <w:rsid w:val="005F29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29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29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291B"/>
  </w:style>
  <w:style w:type="paragraph" w:styleId="TableofFigures">
    <w:name w:val="table of figures"/>
    <w:basedOn w:val="Normal"/>
    <w:next w:val="Normal"/>
    <w:semiHidden/>
    <w:rsid w:val="005F29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291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F291B"/>
    <w:rPr>
      <w:rFonts w:ascii="Wingdings" w:hAnsi="Wingdings"/>
    </w:rPr>
  </w:style>
  <w:style w:type="paragraph" w:customStyle="1" w:styleId="TableHeading">
    <w:name w:val="Table Heading"/>
    <w:basedOn w:val="HeadingBase"/>
    <w:rsid w:val="005F29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291B"/>
    <w:rPr>
      <w:color w:val="0033CC"/>
      <w:u w:val="none"/>
    </w:rPr>
  </w:style>
  <w:style w:type="paragraph" w:customStyle="1" w:styleId="BodyTextRight">
    <w:name w:val="Body Text Right"/>
    <w:basedOn w:val="BodyText"/>
    <w:rsid w:val="005F29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29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291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29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29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29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291B"/>
    <w:rPr>
      <w:sz w:val="32"/>
    </w:rPr>
  </w:style>
  <w:style w:type="paragraph" w:customStyle="1" w:styleId="HeadingProcedure">
    <w:name w:val="Heading Procedure"/>
    <w:basedOn w:val="HeadingBase"/>
    <w:next w:val="Normal"/>
    <w:rsid w:val="005F29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291B"/>
    <w:pPr>
      <w:spacing w:before="60" w:after="60"/>
    </w:pPr>
  </w:style>
  <w:style w:type="paragraph" w:styleId="ListContinue">
    <w:name w:val="List Continue"/>
    <w:basedOn w:val="List"/>
    <w:rsid w:val="005F291B"/>
    <w:pPr>
      <w:ind w:firstLine="0"/>
    </w:pPr>
  </w:style>
  <w:style w:type="paragraph" w:customStyle="1" w:styleId="ListNote">
    <w:name w:val="List Note"/>
    <w:basedOn w:val="List"/>
    <w:rsid w:val="005F29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29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29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291B"/>
    <w:rPr>
      <w:rFonts w:ascii="Courier New" w:hAnsi="Courier New"/>
    </w:rPr>
  </w:style>
  <w:style w:type="paragraph" w:customStyle="1" w:styleId="NoteBullet">
    <w:name w:val="Note Bullet"/>
    <w:basedOn w:val="Note"/>
    <w:rsid w:val="005F29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29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29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29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291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F29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29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291B"/>
    <w:rPr>
      <w:b/>
      <w:smallCaps/>
    </w:rPr>
  </w:style>
  <w:style w:type="paragraph" w:customStyle="1" w:styleId="TableListNumber">
    <w:name w:val="Table List Number"/>
    <w:basedOn w:val="ListNumber"/>
    <w:rsid w:val="005F29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29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291B"/>
    <w:pPr>
      <w:numPr>
        <w:numId w:val="9"/>
      </w:numPr>
    </w:pPr>
  </w:style>
  <w:style w:type="paragraph" w:customStyle="1" w:styleId="ListAlpha2">
    <w:name w:val="List Alpha 2"/>
    <w:basedOn w:val="List2"/>
    <w:rsid w:val="005F291B"/>
    <w:pPr>
      <w:numPr>
        <w:numId w:val="8"/>
      </w:numPr>
    </w:pPr>
  </w:style>
  <w:style w:type="paragraph" w:styleId="List2">
    <w:name w:val="List 2"/>
    <w:basedOn w:val="BodyText"/>
    <w:rsid w:val="005F29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29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29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29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291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291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F291B"/>
    <w:pPr>
      <w:numPr>
        <w:numId w:val="4"/>
      </w:numPr>
    </w:pPr>
  </w:style>
  <w:style w:type="paragraph" w:styleId="ListContinue2">
    <w:name w:val="List Continue 2"/>
    <w:basedOn w:val="List2"/>
    <w:rsid w:val="005F291B"/>
    <w:pPr>
      <w:ind w:firstLine="0"/>
    </w:pPr>
  </w:style>
  <w:style w:type="paragraph" w:styleId="ListContinue3">
    <w:name w:val="List Continue 3"/>
    <w:basedOn w:val="List3"/>
    <w:rsid w:val="005F291B"/>
    <w:pPr>
      <w:ind w:left="1021" w:firstLine="0"/>
    </w:pPr>
  </w:style>
  <w:style w:type="paragraph" w:styleId="ListContinue4">
    <w:name w:val="List Continue 4"/>
    <w:basedOn w:val="List4"/>
    <w:rsid w:val="005F291B"/>
    <w:pPr>
      <w:ind w:firstLine="0"/>
    </w:pPr>
  </w:style>
  <w:style w:type="paragraph" w:styleId="ListContinue5">
    <w:name w:val="List Continue 5"/>
    <w:basedOn w:val="List5"/>
    <w:rsid w:val="005F291B"/>
    <w:pPr>
      <w:ind w:firstLine="0"/>
    </w:pPr>
  </w:style>
  <w:style w:type="paragraph" w:styleId="ListNumber3">
    <w:name w:val="List Number 3"/>
    <w:basedOn w:val="List3"/>
    <w:rsid w:val="005F291B"/>
    <w:pPr>
      <w:numPr>
        <w:numId w:val="5"/>
      </w:numPr>
    </w:pPr>
  </w:style>
  <w:style w:type="paragraph" w:styleId="ListNumber4">
    <w:name w:val="List Number 4"/>
    <w:basedOn w:val="List4"/>
    <w:rsid w:val="005F291B"/>
    <w:pPr>
      <w:numPr>
        <w:numId w:val="6"/>
      </w:numPr>
    </w:pPr>
  </w:style>
  <w:style w:type="paragraph" w:styleId="ListNumber5">
    <w:name w:val="List Number 5"/>
    <w:basedOn w:val="List5"/>
    <w:rsid w:val="005F291B"/>
    <w:pPr>
      <w:numPr>
        <w:numId w:val="7"/>
      </w:numPr>
    </w:pPr>
  </w:style>
  <w:style w:type="paragraph" w:styleId="BlockText">
    <w:name w:val="Block Text"/>
    <w:basedOn w:val="Normal"/>
    <w:rsid w:val="005F29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29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291B"/>
    <w:rPr>
      <w:sz w:val="16"/>
      <w:vertAlign w:val="superscript"/>
    </w:rPr>
  </w:style>
  <w:style w:type="character" w:customStyle="1" w:styleId="Symbols">
    <w:name w:val="Symbols"/>
    <w:basedOn w:val="DefaultParagraphFont"/>
    <w:rsid w:val="005F291B"/>
    <w:rPr>
      <w:rFonts w:ascii="Symbol" w:hAnsi="Symbol"/>
    </w:rPr>
  </w:style>
  <w:style w:type="character" w:customStyle="1" w:styleId="MenuOptions">
    <w:name w:val="Menu Options"/>
    <w:basedOn w:val="DefaultParagraphFont"/>
    <w:rsid w:val="005F29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291B"/>
    <w:rPr>
      <w:b/>
    </w:rPr>
  </w:style>
  <w:style w:type="character" w:customStyle="1" w:styleId="Underlined">
    <w:name w:val="Underlined"/>
    <w:basedOn w:val="DefaultParagraphFont"/>
    <w:rsid w:val="005F291B"/>
    <w:rPr>
      <w:u w:val="single"/>
    </w:rPr>
  </w:style>
  <w:style w:type="paragraph" w:customStyle="1" w:styleId="TableBodyTextRight">
    <w:name w:val="Table Body Text Right"/>
    <w:basedOn w:val="TableBodyText"/>
    <w:rsid w:val="005F29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291B"/>
    <w:rPr>
      <w:sz w:val="18"/>
    </w:rPr>
  </w:style>
  <w:style w:type="paragraph" w:customStyle="1" w:styleId="BodySmallRight">
    <w:name w:val="Body Small Right"/>
    <w:basedOn w:val="BodyTextRight"/>
    <w:rsid w:val="005F291B"/>
    <w:rPr>
      <w:sz w:val="18"/>
      <w:szCs w:val="18"/>
    </w:rPr>
  </w:style>
  <w:style w:type="paragraph" w:customStyle="1" w:styleId="MarginEdition">
    <w:name w:val="Margin Edition"/>
    <w:basedOn w:val="MarginNote"/>
    <w:rsid w:val="005F29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291B"/>
    <w:rPr>
      <w:sz w:val="2"/>
      <w:szCs w:val="2"/>
    </w:rPr>
  </w:style>
  <w:style w:type="character" w:customStyle="1" w:styleId="Small">
    <w:name w:val="Small"/>
    <w:basedOn w:val="DefaultParagraphFont"/>
    <w:rsid w:val="005F291B"/>
    <w:rPr>
      <w:sz w:val="16"/>
    </w:rPr>
  </w:style>
  <w:style w:type="paragraph" w:customStyle="1" w:styleId="WideTable">
    <w:name w:val="Wide Table"/>
    <w:basedOn w:val="Normal"/>
    <w:rsid w:val="005F29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291B"/>
  </w:style>
  <w:style w:type="paragraph" w:styleId="Quote">
    <w:name w:val="Quote"/>
    <w:basedOn w:val="Heading1"/>
    <w:link w:val="QuoteChar"/>
    <w:qFormat/>
    <w:rsid w:val="005F29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29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291B"/>
    <w:pPr>
      <w:pageBreakBefore/>
    </w:pPr>
  </w:style>
  <w:style w:type="paragraph" w:customStyle="1" w:styleId="Border">
    <w:name w:val="Border"/>
    <w:basedOn w:val="Normal"/>
    <w:qFormat/>
    <w:rsid w:val="005F29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29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29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29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29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29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29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29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29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291B"/>
    <w:rPr>
      <w:u w:val="single"/>
    </w:rPr>
  </w:style>
  <w:style w:type="character" w:customStyle="1" w:styleId="BoldandItalics">
    <w:name w:val="Bold and Italics"/>
    <w:qFormat/>
    <w:rsid w:val="005F291B"/>
    <w:rPr>
      <w:b/>
      <w:i/>
      <w:u w:val="none"/>
    </w:rPr>
  </w:style>
  <w:style w:type="paragraph" w:styleId="BalloonText">
    <w:name w:val="Balloon Text"/>
    <w:basedOn w:val="Normal"/>
    <w:link w:val="BalloonTextChar"/>
    <w:rsid w:val="005F29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29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29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29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29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29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291B"/>
    <w:pPr>
      <w:spacing w:before="0" w:after="0"/>
    </w:pPr>
  </w:style>
  <w:style w:type="paragraph" w:customStyle="1" w:styleId="BodyTextBold">
    <w:name w:val="Body Text Bold"/>
    <w:basedOn w:val="BodyText"/>
    <w:qFormat/>
    <w:rsid w:val="005F291B"/>
    <w:rPr>
      <w:b/>
    </w:rPr>
  </w:style>
  <w:style w:type="character" w:styleId="Hyperlink">
    <w:name w:val="Hyperlink"/>
    <w:basedOn w:val="DefaultParagraphFont"/>
    <w:uiPriority w:val="99"/>
    <w:unhideWhenUsed/>
    <w:rsid w:val="004529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356</Words>
  <Characters>2588</Characters>
  <Application>Microsoft Office Word</Application>
  <DocSecurity>0</DocSecurity>
  <Lines>73</Lines>
  <Paragraphs>51</Paragraphs>
  <ScaleCrop>false</ScaleCrop>
  <Company>Author-it Software Corporation Ltd.</Company>
  <LinksUpToDate>false</LinksUpToDate>
  <CharactersWithSpaces>2893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AURMTE001 Test engines using a dynamometer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2023-12-19T06:29:00Z</dcterms:created>
  <dcterms:modified xsi:type="dcterms:W3CDTF">2023-12-19T06:29:00Z</dcterms:modified>
</cp:coreProperties>
</file>