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454" w:rsidP="00B054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AURMTA103 Determine material suitability for competition vehicle components</w:t>
      </w:r>
      <w:r>
        <w:fldChar w:fldCharType="end"/>
      </w:r>
    </w:p>
    <w:p w:rsidR="00B05454" w:rsidP="00B05454">
      <w:pPr>
        <w:pStyle w:val="Version"/>
        <w:sectPr w:rsidSect="00A461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191" w:rsidP="00A46191">
      <w:pPr>
        <w:pStyle w:val="SuperHeading"/>
      </w:pPr>
      <w:r w:rsidRPr="00A46191">
        <w:t>Assessment Requirements for AURMTA103 Determine material suitability for competition vehicle components</w:t>
      </w:r>
    </w:p>
    <w:p w:rsidR="00000000" w:rsidRPr="00A46191" w:rsidP="00A46191">
      <w:pPr>
        <w:pStyle w:val="Heading1"/>
      </w:pPr>
      <w:bookmarkStart w:id="1" w:name="O_1128688"/>
      <w:bookmarkEnd w:id="1"/>
      <w:r w:rsidRPr="00A461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4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191" w:rsidP="00A46191">
            <w:pPr>
              <w:pStyle w:val="BodyText"/>
            </w:pPr>
            <w:r w:rsidRPr="00A4619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191">
            <w:pPr>
              <w:pStyle w:val="BodyText"/>
              <w:rPr>
                <w:lang w:val="en-NZ"/>
              </w:rPr>
            </w:pPr>
            <w:r w:rsidRPr="00A46191">
              <w:rPr>
                <w:rStyle w:val="SpecialBold"/>
              </w:rPr>
              <w:t>Comments</w:t>
            </w:r>
          </w:p>
        </w:tc>
      </w:tr>
      <w:tr w:rsidTr="00A4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191">
            <w:pPr>
              <w:pStyle w:val="BodyText"/>
              <w:rPr>
                <w:lang w:val="en-NZ"/>
              </w:rPr>
            </w:pPr>
            <w:r w:rsidRPr="00A4619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191" w:rsidP="00A46191">
            <w:pPr>
              <w:pStyle w:val="BodyText"/>
            </w:pPr>
            <w:r w:rsidRPr="00A46191">
              <w:t>This version first released with AUR Automoti</w:t>
            </w:r>
            <w:r w:rsidRPr="00A46191">
              <w:t>ve Retail, Service and Repair Training Package Version 6.0</w:t>
            </w:r>
          </w:p>
        </w:tc>
      </w:tr>
    </w:tbl>
    <w:p w:rsidR="00000000" w:rsidRPr="00A46191" w:rsidP="00A46191">
      <w:pPr>
        <w:pStyle w:val="BodyText"/>
      </w:pPr>
    </w:p>
    <w:p w:rsidR="00000000" w:rsidRPr="00A46191" w:rsidP="00A46191">
      <w:pPr>
        <w:pStyle w:val="AllowPageBreak"/>
      </w:pPr>
    </w:p>
    <w:p w:rsidR="00000000" w:rsidRPr="00A46191" w:rsidP="00A46191">
      <w:pPr>
        <w:pStyle w:val="Heading1"/>
      </w:pPr>
      <w:bookmarkStart w:id="2" w:name="O_1128691"/>
      <w:bookmarkEnd w:id="2"/>
      <w:r w:rsidRPr="00A46191">
        <w:t>Performance Evidence</w:t>
      </w:r>
    </w:p>
    <w:p w:rsidR="00000000" w:rsidRPr="00A46191" w:rsidP="00B05454">
      <w:pPr>
        <w:pStyle w:val="BodyText"/>
      </w:pPr>
      <w:r w:rsidRPr="00A46191">
        <w:t>The candidate must demonstrate the ability to complete the tasks outlined in the elements, performance criteria and foundation skills of this unit, includi</w:t>
      </w:r>
      <w:r w:rsidRPr="00A46191">
        <w:t>ng evidence of the ability to:</w:t>
      </w:r>
    </w:p>
    <w:p w:rsidR="00000000" w:rsidRPr="00A46191" w:rsidP="00A46191">
      <w:pPr>
        <w:pStyle w:val="ListBullet"/>
      </w:pPr>
      <w:r w:rsidRPr="00A46191">
        <w:t>determine material suitability for at least two different competition vehicle components of which:</w:t>
      </w:r>
    </w:p>
    <w:p w:rsidR="00000000" w:rsidRPr="00A46191" w:rsidP="00A46191">
      <w:pPr>
        <w:pStyle w:val="ListBullet2"/>
      </w:pPr>
      <w:r w:rsidRPr="00A46191">
        <w:t>at least one component must be made of metal</w:t>
      </w:r>
    </w:p>
    <w:p w:rsidR="00000000" w:rsidRPr="00A46191" w:rsidP="00A46191">
      <w:pPr>
        <w:pStyle w:val="ListBullet2"/>
      </w:pPr>
      <w:r w:rsidRPr="00A46191">
        <w:t>at least one component must be made of a composite material.</w:t>
      </w:r>
    </w:p>
    <w:p w:rsidR="00000000" w:rsidRPr="00A46191" w:rsidP="00A46191">
      <w:pPr>
        <w:pStyle w:val="AllowPageBreak"/>
      </w:pPr>
    </w:p>
    <w:p w:rsidR="00000000" w:rsidRPr="00A46191" w:rsidP="00A46191">
      <w:pPr>
        <w:pStyle w:val="Heading1"/>
      </w:pPr>
      <w:bookmarkStart w:id="3" w:name="O_1128690"/>
      <w:bookmarkEnd w:id="3"/>
      <w:r w:rsidRPr="00A46191">
        <w:t>Knowledge Evidence</w:t>
      </w:r>
    </w:p>
    <w:p w:rsidR="00000000" w:rsidRPr="00A46191" w:rsidP="00B05454">
      <w:pPr>
        <w:pStyle w:val="BodyText"/>
      </w:pPr>
      <w:r w:rsidRPr="00A46191">
        <w:t>The candidate must be able to demonstrate knowledge to complete the tasks outlined in the elements, performance criteria and foundation skills of this unit, including knowledge of:</w:t>
      </w:r>
    </w:p>
    <w:p w:rsidR="00000000" w:rsidRPr="00A46191" w:rsidP="00A46191">
      <w:pPr>
        <w:pStyle w:val="ListBullet"/>
      </w:pPr>
      <w:r w:rsidRPr="00A46191">
        <w:t>methods to locate and interpret information re</w:t>
      </w:r>
      <w:r w:rsidRPr="00A46191">
        <w:t>quired to determine material suitability for competition vehicle components, including:</w:t>
      </w:r>
    </w:p>
    <w:p w:rsidR="00000000" w:rsidRPr="00A46191" w:rsidP="00A46191">
      <w:pPr>
        <w:pStyle w:val="ListBullet2"/>
      </w:pPr>
      <w:r w:rsidRPr="00A46191">
        <w:t>information provided by customer and supervisors</w:t>
      </w:r>
    </w:p>
    <w:p w:rsidR="00000000" w:rsidRPr="00A46191" w:rsidP="00A46191">
      <w:pPr>
        <w:pStyle w:val="ListBullet2"/>
      </w:pPr>
      <w:r w:rsidRPr="00A46191">
        <w:t>manufacturer specifications and procedures or equivalent documentation</w:t>
      </w:r>
    </w:p>
    <w:p w:rsidR="00000000" w:rsidRPr="00A46191" w:rsidP="00A46191">
      <w:pPr>
        <w:pStyle w:val="ListBullet"/>
      </w:pPr>
      <w:r w:rsidRPr="00A46191">
        <w:t>workplace procedures required to determine mat</w:t>
      </w:r>
      <w:r w:rsidRPr="00A46191">
        <w:t>erial suitability for competition vehicle components, including: </w:t>
      </w:r>
    </w:p>
    <w:p w:rsidR="00000000" w:rsidRPr="00A46191" w:rsidP="00A46191">
      <w:pPr>
        <w:pStyle w:val="ListBullet2"/>
      </w:pPr>
      <w:r w:rsidRPr="00A46191">
        <w:t>establishing serviceability of tools and equipment</w:t>
      </w:r>
    </w:p>
    <w:p w:rsidR="00000000" w:rsidRPr="00A46191" w:rsidP="00A46191">
      <w:pPr>
        <w:pStyle w:val="ListBullet2"/>
      </w:pPr>
      <w:r w:rsidRPr="00A46191">
        <w:t>documentation procedures</w:t>
      </w:r>
    </w:p>
    <w:p w:rsidR="00000000" w:rsidRPr="00A46191" w:rsidP="00A46191">
      <w:pPr>
        <w:pStyle w:val="ListBullet2"/>
      </w:pPr>
      <w:r w:rsidRPr="00A46191">
        <w:t>housekeeping procedures, including:</w:t>
      </w:r>
    </w:p>
    <w:p w:rsidR="00000000" w:rsidRPr="00A46191" w:rsidP="00A46191">
      <w:pPr>
        <w:pStyle w:val="ListBullet3"/>
      </w:pPr>
      <w:r w:rsidRPr="00A46191">
        <w:t>examination of tools and equipment</w:t>
      </w:r>
    </w:p>
    <w:p w:rsidR="00000000" w:rsidRPr="00A46191" w:rsidP="00A46191">
      <w:pPr>
        <w:pStyle w:val="ListBullet3"/>
      </w:pPr>
      <w:r w:rsidRPr="00A46191">
        <w:t>storage of equipment</w:t>
      </w:r>
    </w:p>
    <w:p w:rsidR="00000000" w:rsidRPr="00A46191" w:rsidP="00A46191">
      <w:pPr>
        <w:pStyle w:val="ListBullet3"/>
      </w:pPr>
      <w:r w:rsidRPr="00A46191">
        <w:t>identification, tagging and isolation of faulty equipment</w:t>
      </w:r>
    </w:p>
    <w:p w:rsidR="00000000" w:rsidRPr="00A46191" w:rsidP="00A46191">
      <w:pPr>
        <w:pStyle w:val="ListBullet3"/>
      </w:pPr>
      <w:r w:rsidRPr="00A46191">
        <w:t>disposal of excess materials</w:t>
      </w:r>
    </w:p>
    <w:p w:rsidR="00000000" w:rsidRPr="00A46191" w:rsidP="00A46191">
      <w:pPr>
        <w:pStyle w:val="ListBullet3"/>
      </w:pPr>
      <w:r w:rsidRPr="00A46191">
        <w:t>recycling procedures</w:t>
      </w:r>
    </w:p>
    <w:p w:rsidR="00000000" w:rsidRPr="00A46191" w:rsidP="00A46191">
      <w:pPr>
        <w:pStyle w:val="ListBullet"/>
      </w:pPr>
      <w:r w:rsidRPr="00A46191">
        <w:t>work health and safety (WHS) requirements relating to determining material suitability for competition vehicle components, including procedures for</w:t>
      </w:r>
      <w:r w:rsidRPr="00A46191">
        <w:t>:</w:t>
      </w:r>
    </w:p>
    <w:p w:rsidR="00000000" w:rsidRPr="00A46191" w:rsidP="00A46191">
      <w:pPr>
        <w:pStyle w:val="ListBullet2"/>
      </w:pPr>
      <w:r w:rsidRPr="00A46191">
        <w:t>following equipment and system isolation requirements</w:t>
      </w:r>
    </w:p>
    <w:p w:rsidR="00000000" w:rsidRPr="00A46191" w:rsidP="00A46191">
      <w:pPr>
        <w:pStyle w:val="ListBullet2"/>
      </w:pPr>
      <w:r w:rsidRPr="00A46191">
        <w:t>selecting and using personal protective equipment (PPE)</w:t>
      </w:r>
    </w:p>
    <w:p w:rsidR="00000000" w:rsidRPr="00A46191" w:rsidP="00A46191">
      <w:pPr>
        <w:pStyle w:val="ListBullet2"/>
      </w:pPr>
      <w:r w:rsidRPr="00A46191">
        <w:t>methods of panel creation</w:t>
      </w:r>
    </w:p>
    <w:p w:rsidR="00000000" w:rsidRPr="00A46191" w:rsidP="00A46191">
      <w:pPr>
        <w:pStyle w:val="ListBullet"/>
      </w:pPr>
      <w:r w:rsidRPr="00A46191">
        <w:t>key requirements of regulatory body and category rules and their impact on component supplier specifications</w:t>
      </w:r>
    </w:p>
    <w:p w:rsidR="00000000" w:rsidRPr="00A46191" w:rsidP="00A46191">
      <w:pPr>
        <w:pStyle w:val="ListBullet"/>
      </w:pPr>
      <w:r w:rsidRPr="00A46191">
        <w:t>performance specifications for components, including:</w:t>
      </w:r>
    </w:p>
    <w:p w:rsidR="00000000" w:rsidRPr="00A46191" w:rsidP="00A46191">
      <w:pPr>
        <w:pStyle w:val="ListBullet2"/>
      </w:pPr>
      <w:r w:rsidRPr="00A46191">
        <w:t xml:space="preserve">design, quality, material, equipment and required quantities allowable in regulatory body and category rules, event </w:t>
      </w:r>
    </w:p>
    <w:p w:rsidR="00000000" w:rsidRPr="00A46191" w:rsidP="00A46191">
      <w:pPr>
        <w:pStyle w:val="ListBullet3"/>
      </w:pPr>
      <w:r w:rsidRPr="00A46191">
        <w:t>regulatory body and category rules</w:t>
      </w:r>
    </w:p>
    <w:p w:rsidR="00000000" w:rsidRPr="00A46191" w:rsidP="00A46191">
      <w:pPr>
        <w:pStyle w:val="ListBullet3"/>
      </w:pPr>
      <w:r w:rsidRPr="00A46191">
        <w:t>event supplementary regulations</w:t>
      </w:r>
    </w:p>
    <w:p w:rsidR="00000000" w:rsidRPr="00A46191" w:rsidP="00A46191">
      <w:pPr>
        <w:pStyle w:val="ListBullet3"/>
      </w:pPr>
      <w:r w:rsidRPr="00A46191">
        <w:t>component suppli</w:t>
      </w:r>
      <w:r w:rsidRPr="00A46191">
        <w:t>er specifications</w:t>
      </w:r>
    </w:p>
    <w:p w:rsidR="00000000" w:rsidRPr="00A46191" w:rsidP="00A46191">
      <w:pPr>
        <w:pStyle w:val="ListBullet3"/>
      </w:pPr>
      <w:r w:rsidRPr="00A46191">
        <w:t>team instructions</w:t>
      </w:r>
    </w:p>
    <w:p w:rsidR="00000000" w:rsidRPr="00A46191" w:rsidP="00A46191">
      <w:pPr>
        <w:pStyle w:val="ListBullet"/>
      </w:pPr>
      <w:r w:rsidRPr="00A46191">
        <w:t>types of materials suitable for competition vehicle components, including:</w:t>
      </w:r>
    </w:p>
    <w:p w:rsidR="00000000" w:rsidRPr="00A46191" w:rsidP="00A46191">
      <w:pPr>
        <w:pStyle w:val="ListBullet2"/>
      </w:pPr>
      <w:r w:rsidRPr="00A46191">
        <w:t>metals and alloys</w:t>
      </w:r>
    </w:p>
    <w:p w:rsidR="00000000" w:rsidRPr="00A46191" w:rsidP="00A46191">
      <w:pPr>
        <w:pStyle w:val="ListBullet2"/>
      </w:pPr>
      <w:r w:rsidRPr="00A46191">
        <w:t>plastics</w:t>
      </w:r>
    </w:p>
    <w:p w:rsidR="00000000" w:rsidRPr="00A46191" w:rsidP="00A46191">
      <w:pPr>
        <w:pStyle w:val="ListBullet2"/>
      </w:pPr>
      <w:r w:rsidRPr="00A46191">
        <w:t>fibreglass</w:t>
      </w:r>
    </w:p>
    <w:p w:rsidR="00000000" w:rsidRPr="00A46191" w:rsidP="00A46191">
      <w:pPr>
        <w:pStyle w:val="ListBullet2"/>
      </w:pPr>
      <w:r w:rsidRPr="00A46191">
        <w:t>carbon</w:t>
      </w:r>
    </w:p>
    <w:p w:rsidR="00000000" w:rsidRPr="00A46191" w:rsidP="00A46191">
      <w:pPr>
        <w:pStyle w:val="ListBullet2"/>
      </w:pPr>
      <w:r w:rsidRPr="00A46191">
        <w:t>Kevlar</w:t>
      </w:r>
    </w:p>
    <w:p w:rsidR="00000000" w:rsidRPr="00A46191" w:rsidP="00A46191">
      <w:pPr>
        <w:pStyle w:val="ListBullet"/>
      </w:pPr>
      <w:r w:rsidRPr="00A46191">
        <w:t>properties of material suitable for competition vehicle components, including:</w:t>
      </w:r>
    </w:p>
    <w:p w:rsidR="00000000" w:rsidRPr="00A46191" w:rsidP="00A46191">
      <w:pPr>
        <w:pStyle w:val="ListBullet2"/>
      </w:pPr>
      <w:r w:rsidRPr="00A46191">
        <w:t>molecular structure of material</w:t>
      </w:r>
    </w:p>
    <w:p w:rsidR="00000000" w:rsidRPr="00A46191" w:rsidP="00A46191">
      <w:pPr>
        <w:pStyle w:val="ListBullet2"/>
      </w:pPr>
      <w:r w:rsidRPr="00A46191">
        <w:t>physical properties of fabrication material and material composites</w:t>
      </w:r>
    </w:p>
    <w:p w:rsidR="00000000" w:rsidRPr="00A46191" w:rsidP="00A46191">
      <w:pPr>
        <w:pStyle w:val="ListBullet2"/>
      </w:pPr>
      <w:r w:rsidRPr="00A46191">
        <w:t>chemical properties of fabrication material and material composites</w:t>
      </w:r>
    </w:p>
    <w:p w:rsidR="00000000" w:rsidRPr="00A46191" w:rsidP="00A46191">
      <w:pPr>
        <w:pStyle w:val="ListBullet2"/>
      </w:pPr>
      <w:r w:rsidRPr="00A46191">
        <w:t>mechanical properties of fabrication material and material composites</w:t>
      </w:r>
    </w:p>
    <w:p w:rsidR="00000000" w:rsidRPr="00A46191" w:rsidP="00A46191">
      <w:pPr>
        <w:pStyle w:val="ListBullet"/>
      </w:pPr>
      <w:r w:rsidRPr="00A46191">
        <w:t>material treatmen</w:t>
      </w:r>
      <w:r w:rsidRPr="00A46191">
        <w:t>t processes</w:t>
      </w:r>
    </w:p>
    <w:p w:rsidR="00000000" w:rsidRPr="00A46191" w:rsidP="00A46191">
      <w:pPr>
        <w:pStyle w:val="ListBullet"/>
      </w:pPr>
      <w:r w:rsidRPr="00A46191">
        <w:t>causes of material degradation</w:t>
      </w:r>
    </w:p>
    <w:p w:rsidR="00000000" w:rsidRPr="00A46191" w:rsidP="00A46191">
      <w:pPr>
        <w:pStyle w:val="ListBullet"/>
      </w:pPr>
      <w:r w:rsidRPr="00A46191">
        <w:t>testing result documentation, including:</w:t>
      </w:r>
    </w:p>
    <w:p w:rsidR="00000000" w:rsidRPr="00A46191" w:rsidP="00A46191">
      <w:pPr>
        <w:pStyle w:val="ListBullet2"/>
      </w:pPr>
      <w:r w:rsidRPr="00A46191">
        <w:t>recommendations for material use</w:t>
      </w:r>
    </w:p>
    <w:p w:rsidR="00000000" w:rsidRPr="00A46191" w:rsidP="00A46191">
      <w:pPr>
        <w:pStyle w:val="ListBullet2"/>
      </w:pPr>
      <w:r w:rsidRPr="00A46191">
        <w:t>recommendations for component use</w:t>
      </w:r>
    </w:p>
    <w:p w:rsidR="00000000" w:rsidRPr="00A46191" w:rsidP="00A46191">
      <w:pPr>
        <w:pStyle w:val="ListBullet"/>
      </w:pPr>
      <w:r w:rsidRPr="00A46191">
        <w:t>material and component testing procedures, including:</w:t>
      </w:r>
    </w:p>
    <w:p w:rsidR="00000000" w:rsidRPr="00A46191" w:rsidP="00A46191">
      <w:pPr>
        <w:pStyle w:val="ListBullet2"/>
      </w:pPr>
      <w:r w:rsidRPr="00A46191">
        <w:t>destructive</w:t>
      </w:r>
    </w:p>
    <w:p w:rsidR="00000000" w:rsidRPr="00A46191" w:rsidP="00A46191">
      <w:pPr>
        <w:pStyle w:val="ListBullet2"/>
      </w:pPr>
      <w:r w:rsidRPr="00A46191">
        <w:t>non-destructive.</w:t>
      </w:r>
    </w:p>
    <w:p w:rsidR="00000000" w:rsidRPr="00A46191" w:rsidP="00A46191">
      <w:pPr>
        <w:pStyle w:val="AllowPageBreak"/>
      </w:pPr>
    </w:p>
    <w:p w:rsidR="00000000" w:rsidRPr="00A46191" w:rsidP="00A46191">
      <w:pPr>
        <w:pStyle w:val="Heading1"/>
      </w:pPr>
      <w:bookmarkStart w:id="4" w:name="O_1128689"/>
      <w:bookmarkEnd w:id="4"/>
      <w:r w:rsidRPr="00A46191">
        <w:t>Assessment Conditions</w:t>
      </w:r>
    </w:p>
    <w:p w:rsidR="00000000" w:rsidRPr="00A46191" w:rsidP="00B05454">
      <w:pPr>
        <w:pStyle w:val="BodyText"/>
      </w:pPr>
      <w:r w:rsidRPr="00A46191">
        <w:t>Competency is to be assessed in the workplace or a simulated environment that accurately reflects performance in a real workplace setting.</w:t>
      </w:r>
    </w:p>
    <w:p w:rsidR="00000000" w:rsidRPr="00A46191" w:rsidP="00B05454">
      <w:pPr>
        <w:pStyle w:val="BodyText"/>
      </w:pPr>
      <w:r w:rsidRPr="00A46191">
        <w:t>Assessment must include direct observation of tasks.</w:t>
      </w:r>
    </w:p>
    <w:p w:rsidR="00000000" w:rsidRPr="00A46191" w:rsidP="00B05454">
      <w:pPr>
        <w:pStyle w:val="BodyText"/>
      </w:pPr>
      <w:r w:rsidRPr="00A46191">
        <w:t>Where assessment of competency includes th</w:t>
      </w:r>
      <w:r w:rsidRPr="00A46191">
        <w:t>ird-party evidence, individuals must provide evidence that links them to the material that they have tested to determine its suitability for competition vehicle components, e.g. work order.</w:t>
      </w:r>
    </w:p>
    <w:p w:rsidR="00000000" w:rsidRPr="00A46191" w:rsidP="00B05454">
      <w:pPr>
        <w:pStyle w:val="BodyText"/>
      </w:pPr>
      <w:r w:rsidRPr="00A46191">
        <w:t xml:space="preserve">Assessors must verify performance evidence through questioning on </w:t>
      </w:r>
      <w:r w:rsidRPr="00A46191">
        <w:t>skills and knowledge to ensure correct interpretation and application.</w:t>
      </w:r>
    </w:p>
    <w:p w:rsidR="00000000" w:rsidRPr="00A46191" w:rsidP="00B05454">
      <w:pPr>
        <w:pStyle w:val="BodyText"/>
      </w:pPr>
      <w:r w:rsidRPr="00A46191">
        <w:t>The following resources must be made available:</w:t>
      </w:r>
    </w:p>
    <w:p w:rsidR="00000000" w:rsidRPr="00A46191" w:rsidP="00A46191">
      <w:pPr>
        <w:pStyle w:val="ListBullet"/>
      </w:pPr>
      <w:r w:rsidRPr="00A46191">
        <w:t>motor sport workplace or simulated workplace</w:t>
      </w:r>
    </w:p>
    <w:p w:rsidR="00000000" w:rsidRPr="00A46191" w:rsidP="00A46191">
      <w:pPr>
        <w:pStyle w:val="ListBullet"/>
      </w:pPr>
      <w:r w:rsidRPr="00A46191">
        <w:t>workplace instructions</w:t>
      </w:r>
    </w:p>
    <w:p w:rsidR="00000000" w:rsidRPr="00A46191" w:rsidP="00A46191">
      <w:pPr>
        <w:pStyle w:val="ListBullet"/>
      </w:pPr>
      <w:r w:rsidRPr="00A46191">
        <w:t xml:space="preserve">customer requirements, organisational procedures, safety procedures </w:t>
      </w:r>
      <w:r w:rsidRPr="00A46191">
        <w:t>and regulations</w:t>
      </w:r>
    </w:p>
    <w:p w:rsidR="00000000" w:rsidRPr="00A46191" w:rsidP="00A46191">
      <w:pPr>
        <w:pStyle w:val="ListBullet"/>
      </w:pPr>
      <w:r w:rsidRPr="00A46191">
        <w:t>competition vehicles requiring components specified in the performance evidence</w:t>
      </w:r>
    </w:p>
    <w:p w:rsidR="00000000" w:rsidRPr="00A46191" w:rsidP="00A46191">
      <w:pPr>
        <w:pStyle w:val="ListBullet"/>
      </w:pPr>
      <w:r w:rsidRPr="00A46191">
        <w:t>material, testing equipment and fabrication equipment for the two different competition vehicle components specified in the performance evidence</w:t>
      </w:r>
    </w:p>
    <w:p w:rsidR="00000000" w:rsidRPr="00A46191" w:rsidP="00A46191">
      <w:pPr>
        <w:pStyle w:val="ListBullet"/>
      </w:pPr>
      <w:r w:rsidRPr="00A46191">
        <w:t>tools and equip</w:t>
      </w:r>
      <w:r w:rsidRPr="00A46191">
        <w:t>ment appropriate for determining material suitability for competition vehicle components.</w:t>
      </w:r>
    </w:p>
    <w:p w:rsidR="00000000" w:rsidRPr="00A46191" w:rsidP="00A46191">
      <w:pPr>
        <w:pStyle w:val="List"/>
      </w:pPr>
    </w:p>
    <w:p w:rsidR="00000000" w:rsidRPr="00A46191" w:rsidP="00B05454">
      <w:pPr>
        <w:pStyle w:val="BodyText"/>
      </w:pPr>
      <w:r w:rsidRPr="00A46191">
        <w:t>Assessors of this unit must satisfy the requirements for assessors in applicable vocational education and training legislation, frameworks and/or standards.</w:t>
      </w:r>
    </w:p>
    <w:p w:rsidR="00000000" w:rsidRPr="00A46191" w:rsidP="00A46191">
      <w:pPr>
        <w:pStyle w:val="Heading1"/>
      </w:pPr>
      <w:bookmarkStart w:id="5" w:name="O_1128687"/>
      <w:bookmarkEnd w:id="5"/>
      <w:r w:rsidRPr="00A46191">
        <w:t>Links</w:t>
      </w:r>
    </w:p>
    <w:p w:rsidR="00000000" w:rsidRPr="00A46191" w:rsidP="00B05454">
      <w:pPr>
        <w:pStyle w:val="BodyText"/>
      </w:pPr>
      <w:r w:rsidRPr="00A461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C58C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46191" w:rsidP="00A46191"/>
    <w:sectPr w:rsidSect="00A461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91" w:rsidRPr="00B05454" w:rsidP="00B054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54" w:rsidP="00A461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5454" w:rsidP="00A461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05454" w:rsidP="00A461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191" w:rsidRPr="00B05454" w:rsidP="00B054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54" w:rsidRPr="002D2AF8" w:rsidP="00A461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AURMTA103 Determine material suitability for competition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05454" w:rsidP="00A461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D89C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C08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DCF2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1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1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1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1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1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1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1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1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1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1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1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191"/>
  </w:style>
  <w:style w:type="character" w:customStyle="1" w:styleId="Heading1Char">
    <w:name w:val="Heading 1 Char"/>
    <w:basedOn w:val="DefaultParagraphFont"/>
    <w:link w:val="Heading1"/>
    <w:rsid w:val="00A461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1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1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61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61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191"/>
    <w:rPr>
      <w:b/>
      <w:spacing w:val="0"/>
    </w:rPr>
  </w:style>
  <w:style w:type="paragraph" w:styleId="ListBullet2">
    <w:name w:val="List Bullet 2"/>
    <w:basedOn w:val="List2"/>
    <w:rsid w:val="00A461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61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1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61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461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1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1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1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1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1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1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1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1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1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1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1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1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1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61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1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1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1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1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1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1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1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1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1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1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1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1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191"/>
    <w:rPr>
      <w:i/>
    </w:rPr>
  </w:style>
  <w:style w:type="paragraph" w:styleId="Caption">
    <w:name w:val="caption"/>
    <w:basedOn w:val="BodyText"/>
    <w:next w:val="Normal"/>
    <w:qFormat/>
    <w:rsid w:val="00A461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1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1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191"/>
  </w:style>
  <w:style w:type="paragraph" w:styleId="TableofFigures">
    <w:name w:val="table of figures"/>
    <w:basedOn w:val="Normal"/>
    <w:next w:val="Normal"/>
    <w:semiHidden/>
    <w:rsid w:val="00A461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1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6191"/>
    <w:rPr>
      <w:rFonts w:ascii="Wingdings" w:hAnsi="Wingdings"/>
    </w:rPr>
  </w:style>
  <w:style w:type="paragraph" w:customStyle="1" w:styleId="TableHeading">
    <w:name w:val="Table Heading"/>
    <w:basedOn w:val="HeadingBase"/>
    <w:rsid w:val="00A461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191"/>
    <w:rPr>
      <w:color w:val="0033CC"/>
      <w:u w:val="none"/>
    </w:rPr>
  </w:style>
  <w:style w:type="paragraph" w:customStyle="1" w:styleId="BodyTextRight">
    <w:name w:val="Body Text Right"/>
    <w:basedOn w:val="BodyText"/>
    <w:rsid w:val="00A461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1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1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1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1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1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191"/>
    <w:rPr>
      <w:sz w:val="32"/>
    </w:rPr>
  </w:style>
  <w:style w:type="paragraph" w:customStyle="1" w:styleId="HeadingProcedure">
    <w:name w:val="Heading Procedure"/>
    <w:basedOn w:val="HeadingBase"/>
    <w:next w:val="Normal"/>
    <w:rsid w:val="00A461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191"/>
    <w:pPr>
      <w:spacing w:before="60" w:after="60"/>
    </w:pPr>
  </w:style>
  <w:style w:type="paragraph" w:styleId="ListContinue">
    <w:name w:val="List Continue"/>
    <w:basedOn w:val="List"/>
    <w:rsid w:val="00A46191"/>
    <w:pPr>
      <w:ind w:firstLine="0"/>
    </w:pPr>
  </w:style>
  <w:style w:type="paragraph" w:customStyle="1" w:styleId="ListNote">
    <w:name w:val="List Note"/>
    <w:basedOn w:val="List"/>
    <w:rsid w:val="00A461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1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1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191"/>
    <w:rPr>
      <w:rFonts w:ascii="Courier New" w:hAnsi="Courier New"/>
    </w:rPr>
  </w:style>
  <w:style w:type="paragraph" w:customStyle="1" w:styleId="NoteBullet">
    <w:name w:val="Note Bullet"/>
    <w:basedOn w:val="Note"/>
    <w:rsid w:val="00A461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1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1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1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1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61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1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191"/>
    <w:rPr>
      <w:b/>
      <w:smallCaps/>
    </w:rPr>
  </w:style>
  <w:style w:type="paragraph" w:customStyle="1" w:styleId="TableListNumber">
    <w:name w:val="Table List Number"/>
    <w:basedOn w:val="ListNumber"/>
    <w:rsid w:val="00A461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1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191"/>
    <w:pPr>
      <w:numPr>
        <w:numId w:val="10"/>
      </w:numPr>
    </w:pPr>
  </w:style>
  <w:style w:type="paragraph" w:customStyle="1" w:styleId="ListAlpha2">
    <w:name w:val="List Alpha 2"/>
    <w:basedOn w:val="List2"/>
    <w:rsid w:val="00A46191"/>
    <w:pPr>
      <w:numPr>
        <w:numId w:val="9"/>
      </w:numPr>
    </w:pPr>
  </w:style>
  <w:style w:type="paragraph" w:styleId="List2">
    <w:name w:val="List 2"/>
    <w:basedOn w:val="BodyText"/>
    <w:rsid w:val="00A461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1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1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1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61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6191"/>
    <w:pPr>
      <w:numPr>
        <w:numId w:val="5"/>
      </w:numPr>
    </w:pPr>
  </w:style>
  <w:style w:type="paragraph" w:styleId="ListContinue2">
    <w:name w:val="List Continue 2"/>
    <w:basedOn w:val="List2"/>
    <w:rsid w:val="00A46191"/>
    <w:pPr>
      <w:ind w:firstLine="0"/>
    </w:pPr>
  </w:style>
  <w:style w:type="paragraph" w:styleId="ListContinue3">
    <w:name w:val="List Continue 3"/>
    <w:basedOn w:val="List3"/>
    <w:rsid w:val="00A46191"/>
    <w:pPr>
      <w:ind w:left="1021" w:firstLine="0"/>
    </w:pPr>
  </w:style>
  <w:style w:type="paragraph" w:styleId="ListContinue4">
    <w:name w:val="List Continue 4"/>
    <w:basedOn w:val="List4"/>
    <w:rsid w:val="00A46191"/>
    <w:pPr>
      <w:ind w:firstLine="0"/>
    </w:pPr>
  </w:style>
  <w:style w:type="paragraph" w:styleId="ListContinue5">
    <w:name w:val="List Continue 5"/>
    <w:basedOn w:val="List5"/>
    <w:rsid w:val="00A46191"/>
    <w:pPr>
      <w:ind w:firstLine="0"/>
    </w:pPr>
  </w:style>
  <w:style w:type="paragraph" w:styleId="ListNumber3">
    <w:name w:val="List Number 3"/>
    <w:basedOn w:val="List3"/>
    <w:rsid w:val="00A46191"/>
    <w:pPr>
      <w:numPr>
        <w:numId w:val="6"/>
      </w:numPr>
    </w:pPr>
  </w:style>
  <w:style w:type="paragraph" w:styleId="ListNumber4">
    <w:name w:val="List Number 4"/>
    <w:basedOn w:val="List4"/>
    <w:rsid w:val="00A46191"/>
    <w:pPr>
      <w:numPr>
        <w:numId w:val="7"/>
      </w:numPr>
    </w:pPr>
  </w:style>
  <w:style w:type="paragraph" w:styleId="ListNumber5">
    <w:name w:val="List Number 5"/>
    <w:basedOn w:val="List5"/>
    <w:rsid w:val="00A46191"/>
    <w:pPr>
      <w:numPr>
        <w:numId w:val="8"/>
      </w:numPr>
    </w:pPr>
  </w:style>
  <w:style w:type="paragraph" w:styleId="BlockText">
    <w:name w:val="Block Text"/>
    <w:basedOn w:val="Normal"/>
    <w:rsid w:val="00A461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1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191"/>
    <w:rPr>
      <w:sz w:val="16"/>
      <w:vertAlign w:val="superscript"/>
    </w:rPr>
  </w:style>
  <w:style w:type="character" w:customStyle="1" w:styleId="Symbols">
    <w:name w:val="Symbols"/>
    <w:basedOn w:val="DefaultParagraphFont"/>
    <w:rsid w:val="00A46191"/>
    <w:rPr>
      <w:rFonts w:ascii="Symbol" w:hAnsi="Symbol"/>
    </w:rPr>
  </w:style>
  <w:style w:type="character" w:customStyle="1" w:styleId="MenuOptions">
    <w:name w:val="Menu Options"/>
    <w:basedOn w:val="DefaultParagraphFont"/>
    <w:rsid w:val="00A461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191"/>
    <w:rPr>
      <w:b/>
    </w:rPr>
  </w:style>
  <w:style w:type="character" w:customStyle="1" w:styleId="Underlined">
    <w:name w:val="Underlined"/>
    <w:basedOn w:val="DefaultParagraphFont"/>
    <w:rsid w:val="00A46191"/>
    <w:rPr>
      <w:u w:val="single"/>
    </w:rPr>
  </w:style>
  <w:style w:type="paragraph" w:customStyle="1" w:styleId="TableBodyTextRight">
    <w:name w:val="Table Body Text Right"/>
    <w:basedOn w:val="TableBodyText"/>
    <w:rsid w:val="00A461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191"/>
    <w:rPr>
      <w:sz w:val="18"/>
    </w:rPr>
  </w:style>
  <w:style w:type="paragraph" w:customStyle="1" w:styleId="BodySmallRight">
    <w:name w:val="Body Small Right"/>
    <w:basedOn w:val="BodyTextRight"/>
    <w:rsid w:val="00A46191"/>
    <w:rPr>
      <w:sz w:val="18"/>
      <w:szCs w:val="18"/>
    </w:rPr>
  </w:style>
  <w:style w:type="paragraph" w:customStyle="1" w:styleId="MarginEdition">
    <w:name w:val="Margin Edition"/>
    <w:basedOn w:val="MarginNote"/>
    <w:rsid w:val="00A461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191"/>
    <w:rPr>
      <w:sz w:val="2"/>
      <w:szCs w:val="2"/>
    </w:rPr>
  </w:style>
  <w:style w:type="character" w:customStyle="1" w:styleId="Small">
    <w:name w:val="Small"/>
    <w:basedOn w:val="DefaultParagraphFont"/>
    <w:rsid w:val="00A46191"/>
    <w:rPr>
      <w:sz w:val="16"/>
    </w:rPr>
  </w:style>
  <w:style w:type="paragraph" w:customStyle="1" w:styleId="WideTable">
    <w:name w:val="Wide Table"/>
    <w:basedOn w:val="Normal"/>
    <w:rsid w:val="00A461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191"/>
  </w:style>
  <w:style w:type="paragraph" w:styleId="Quote">
    <w:name w:val="Quote"/>
    <w:basedOn w:val="Heading1"/>
    <w:link w:val="QuoteChar"/>
    <w:qFormat/>
    <w:rsid w:val="00A461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1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191"/>
    <w:pPr>
      <w:pageBreakBefore/>
    </w:pPr>
  </w:style>
  <w:style w:type="paragraph" w:customStyle="1" w:styleId="Border">
    <w:name w:val="Border"/>
    <w:basedOn w:val="Normal"/>
    <w:qFormat/>
    <w:rsid w:val="00A461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1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1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1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1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1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1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1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1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191"/>
    <w:rPr>
      <w:u w:val="single"/>
    </w:rPr>
  </w:style>
  <w:style w:type="character" w:customStyle="1" w:styleId="BoldandItalics">
    <w:name w:val="Bold and Italics"/>
    <w:qFormat/>
    <w:rsid w:val="00A46191"/>
    <w:rPr>
      <w:b/>
      <w:i/>
      <w:u w:val="none"/>
    </w:rPr>
  </w:style>
  <w:style w:type="paragraph" w:styleId="BalloonText">
    <w:name w:val="Balloon Text"/>
    <w:basedOn w:val="Normal"/>
    <w:link w:val="BalloonTextChar"/>
    <w:rsid w:val="00A461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1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1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1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1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1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191"/>
    <w:pPr>
      <w:spacing w:before="0" w:after="0"/>
    </w:pPr>
  </w:style>
  <w:style w:type="paragraph" w:customStyle="1" w:styleId="BodyTextBold">
    <w:name w:val="Body Text Bold"/>
    <w:basedOn w:val="BodyText"/>
    <w:qFormat/>
    <w:rsid w:val="00A46191"/>
    <w:rPr>
      <w:b/>
    </w:rPr>
  </w:style>
  <w:style w:type="character" w:styleId="Hyperlink">
    <w:name w:val="Hyperlink"/>
    <w:basedOn w:val="DefaultParagraphFont"/>
    <w:uiPriority w:val="99"/>
    <w:unhideWhenUsed/>
    <w:rsid w:val="00B054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4041</Characters>
  <Application>Microsoft Office Word</Application>
  <DocSecurity>0</DocSecurity>
  <Lines>103</Lines>
  <Paragraphs>83</Paragraphs>
  <ScaleCrop>false</ScaleCrop>
  <Company>Author-it Software Corporation Ltd.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AURMTA103 Determine material suitability for competition vehicle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