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B3E" w:rsidP="00342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AURLTJ004 Provide advice on the effects of wheel and tyre combinations</w:t>
      </w:r>
      <w:r>
        <w:fldChar w:fldCharType="end"/>
      </w:r>
    </w:p>
    <w:p w:rsidR="00342B3E" w:rsidP="00342B3E">
      <w:pPr>
        <w:pStyle w:val="Version"/>
        <w:sectPr w:rsidSect="007C56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68B" w:rsidP="007C568B">
      <w:pPr>
        <w:pStyle w:val="SuperHeading"/>
      </w:pPr>
      <w:r w:rsidRPr="007C568B">
        <w:t>Assessment Requirements for AURLTJ004 Provide advice on the effects of wheel and tyre combinations</w:t>
      </w:r>
    </w:p>
    <w:p w:rsidR="00000000" w:rsidRPr="007C568B" w:rsidP="007C568B">
      <w:pPr>
        <w:pStyle w:val="Heading1"/>
      </w:pPr>
      <w:bookmarkStart w:id="1" w:name="O_775226"/>
      <w:bookmarkEnd w:id="1"/>
      <w:r w:rsidRPr="007C568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2B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68B" w:rsidP="007C568B">
            <w:pPr>
              <w:pStyle w:val="BodyText"/>
            </w:pPr>
            <w:r w:rsidRPr="007C568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68B">
            <w:pPr>
              <w:pStyle w:val="BodyText"/>
              <w:rPr>
                <w:lang w:val="en-NZ"/>
              </w:rPr>
            </w:pPr>
            <w:r w:rsidRPr="007C568B">
              <w:rPr>
                <w:rStyle w:val="SpecialBold"/>
              </w:rPr>
              <w:t>Comment</w:t>
            </w:r>
          </w:p>
        </w:tc>
      </w:tr>
      <w:tr w:rsidTr="00342B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68B">
            <w:pPr>
              <w:pStyle w:val="BodyText"/>
              <w:rPr>
                <w:lang w:val="en-NZ"/>
              </w:rPr>
            </w:pPr>
            <w:r w:rsidRPr="007C568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68B" w:rsidP="007C568B">
            <w:pPr>
              <w:pStyle w:val="BodyText"/>
            </w:pPr>
            <w:r w:rsidRPr="007C568B">
              <w:t>New unit of competency.</w:t>
            </w:r>
          </w:p>
        </w:tc>
      </w:tr>
    </w:tbl>
    <w:p w:rsidR="00000000" w:rsidRPr="007C568B" w:rsidP="007C568B">
      <w:pPr>
        <w:pStyle w:val="BodyText"/>
      </w:pPr>
    </w:p>
    <w:p w:rsidR="00000000" w:rsidRPr="007C568B" w:rsidP="007C568B">
      <w:pPr>
        <w:pStyle w:val="AllowPageBreak"/>
      </w:pPr>
    </w:p>
    <w:p w:rsidR="00000000" w:rsidRPr="007C568B" w:rsidP="007C568B">
      <w:pPr>
        <w:pStyle w:val="Heading1"/>
      </w:pPr>
      <w:bookmarkStart w:id="2" w:name="O_775227"/>
      <w:bookmarkEnd w:id="2"/>
      <w:r w:rsidRPr="007C568B">
        <w:t>Performance Evidence</w:t>
      </w:r>
    </w:p>
    <w:p w:rsidR="00000000" w:rsidRPr="007C568B" w:rsidP="00342B3E">
      <w:pPr>
        <w:pStyle w:val="BodyText"/>
      </w:pPr>
      <w:r w:rsidRPr="007C568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C568B" w:rsidP="007C568B">
      <w:pPr>
        <w:pStyle w:val="ListBullet"/>
      </w:pPr>
      <w:r w:rsidRPr="007C568B">
        <w:t>provide advice to three different</w:t>
      </w:r>
      <w:r w:rsidRPr="007C568B">
        <w:t xml:space="preserve"> customers on the effects of different wheel and tyre combinations on their vehicles’ ride and handling characteristics </w:t>
      </w:r>
    </w:p>
    <w:p w:rsidR="00000000" w:rsidRPr="007C568B" w:rsidP="007C568B">
      <w:pPr>
        <w:pStyle w:val="ListBullet"/>
      </w:pPr>
      <w:r w:rsidRPr="007C568B">
        <w:t>demonstrate effective communication techniques when discussing technical information with above customers.</w:t>
      </w:r>
    </w:p>
    <w:p w:rsidR="00000000" w:rsidRPr="007C568B" w:rsidP="007C568B">
      <w:pPr>
        <w:pStyle w:val="AllowPageBreak"/>
      </w:pPr>
    </w:p>
    <w:p w:rsidR="00000000" w:rsidRPr="007C568B" w:rsidP="007C568B">
      <w:pPr>
        <w:pStyle w:val="Heading1"/>
      </w:pPr>
      <w:bookmarkStart w:id="3" w:name="O_775228"/>
      <w:bookmarkEnd w:id="3"/>
      <w:r w:rsidRPr="007C568B">
        <w:t>Knowledge Evidence</w:t>
      </w:r>
    </w:p>
    <w:p w:rsidR="00000000" w:rsidRPr="007C568B" w:rsidP="00342B3E">
      <w:pPr>
        <w:pStyle w:val="BodyText"/>
      </w:pPr>
      <w:r w:rsidRPr="007C568B">
        <w:t>Individuals must be able to demonstrate knowledge of:</w:t>
      </w:r>
    </w:p>
    <w:p w:rsidR="00000000" w:rsidRPr="007C568B" w:rsidP="007C568B">
      <w:pPr>
        <w:pStyle w:val="ListBullet"/>
      </w:pPr>
      <w:r w:rsidRPr="007C568B">
        <w:t>principles of wheel and tyre technology, including:</w:t>
      </w:r>
    </w:p>
    <w:p w:rsidR="00000000" w:rsidRPr="007C568B" w:rsidP="007C568B">
      <w:pPr>
        <w:pStyle w:val="ListBullet2"/>
      </w:pPr>
      <w:r w:rsidRPr="007C568B">
        <w:t>directional tyres</w:t>
      </w:r>
    </w:p>
    <w:p w:rsidR="00000000" w:rsidRPr="007C568B" w:rsidP="007C568B">
      <w:pPr>
        <w:pStyle w:val="ListBullet2"/>
      </w:pPr>
      <w:r w:rsidRPr="007C568B">
        <w:t>wheel offsets</w:t>
      </w:r>
    </w:p>
    <w:p w:rsidR="00000000" w:rsidRPr="007C568B" w:rsidP="007C568B">
      <w:pPr>
        <w:pStyle w:val="ListBullet2"/>
      </w:pPr>
      <w:r w:rsidRPr="007C568B">
        <w:t>wheel track</w:t>
      </w:r>
    </w:p>
    <w:p w:rsidR="00000000" w:rsidRPr="007C568B" w:rsidP="007C568B">
      <w:pPr>
        <w:pStyle w:val="ListBullet2"/>
      </w:pPr>
      <w:r w:rsidRPr="007C568B">
        <w:t>tyre to road contact</w:t>
      </w:r>
    </w:p>
    <w:p w:rsidR="00000000" w:rsidRPr="007C568B" w:rsidP="007C568B">
      <w:pPr>
        <w:pStyle w:val="ListBullet"/>
      </w:pPr>
      <w:r w:rsidRPr="007C568B">
        <w:t>effects of wheel and tyre combinations on vehicle comfort, hand</w:t>
      </w:r>
      <w:r w:rsidRPr="007C568B">
        <w:t>ling and safety</w:t>
      </w:r>
    </w:p>
    <w:p w:rsidR="00000000" w:rsidRPr="007C568B" w:rsidP="007C568B">
      <w:pPr>
        <w:pStyle w:val="ListBullet"/>
      </w:pPr>
      <w:r w:rsidRPr="007C568B">
        <w:t xml:space="preserve">Australian Design Rules (ADRs) relating to wheels and tyres </w:t>
      </w:r>
    </w:p>
    <w:p w:rsidR="00000000" w:rsidRPr="007C568B" w:rsidP="007C568B">
      <w:pPr>
        <w:pStyle w:val="ListBullet"/>
      </w:pPr>
      <w:r w:rsidRPr="007C568B">
        <w:t>legislation concerning ADR compliance.</w:t>
      </w:r>
    </w:p>
    <w:p w:rsidR="00000000" w:rsidRPr="007C568B" w:rsidP="007C568B">
      <w:pPr>
        <w:pStyle w:val="AllowPageBreak"/>
      </w:pPr>
    </w:p>
    <w:p w:rsidR="00000000" w:rsidRPr="007C568B" w:rsidP="007C568B">
      <w:pPr>
        <w:pStyle w:val="Heading1"/>
      </w:pPr>
      <w:bookmarkStart w:id="4" w:name="O_775229"/>
      <w:bookmarkEnd w:id="4"/>
      <w:r w:rsidRPr="007C568B">
        <w:t>Assessment Conditions</w:t>
      </w:r>
    </w:p>
    <w:p w:rsidR="00000000" w:rsidRPr="007C568B" w:rsidP="00342B3E">
      <w:pPr>
        <w:pStyle w:val="BodyText"/>
      </w:pPr>
      <w:r w:rsidRPr="007C568B">
        <w:t>Assessors must satisfy NVR/AQTF assessor requirements.</w:t>
      </w:r>
    </w:p>
    <w:p w:rsidR="00000000" w:rsidRPr="007C568B" w:rsidP="00342B3E">
      <w:pPr>
        <w:pStyle w:val="BodyText"/>
      </w:pPr>
      <w:r w:rsidRPr="007C568B">
        <w:t>Competency is to be assessed in the workplace or a simulated environment that accurately reflects performance in a real workplace setting.</w:t>
      </w:r>
    </w:p>
    <w:p w:rsidR="00000000" w:rsidRPr="007C568B" w:rsidP="00342B3E">
      <w:pPr>
        <w:pStyle w:val="BodyText"/>
      </w:pPr>
      <w:r w:rsidRPr="007C568B">
        <w:t>Assessment must include direct observation of tasks.</w:t>
      </w:r>
    </w:p>
    <w:p w:rsidR="00000000" w:rsidRPr="007C568B" w:rsidP="00342B3E">
      <w:pPr>
        <w:pStyle w:val="BodyText"/>
      </w:pPr>
      <w:r w:rsidRPr="007C568B">
        <w:t xml:space="preserve">Where assessment of competency includes third-party evidence, </w:t>
      </w:r>
      <w:r w:rsidRPr="007C568B">
        <w:t>individuals must provide evidence that links them to the wheel and tyre advice that they have provided, e.g. work orders.</w:t>
      </w:r>
    </w:p>
    <w:p w:rsidR="00000000" w:rsidRPr="007C568B" w:rsidP="00342B3E">
      <w:pPr>
        <w:pStyle w:val="BodyText"/>
      </w:pPr>
      <w:r w:rsidRPr="007C568B">
        <w:t>Assessors must verify performance evidence through questioning on skills and knowledge to ensure correct interpretation and applicati</w:t>
      </w:r>
      <w:r w:rsidRPr="007C568B">
        <w:t>on.</w:t>
      </w:r>
    </w:p>
    <w:p w:rsidR="00000000" w:rsidRPr="007C568B" w:rsidP="00342B3E">
      <w:pPr>
        <w:pStyle w:val="BodyText"/>
      </w:pPr>
      <w:r w:rsidRPr="007C568B">
        <w:t>The following resources must be made available:</w:t>
      </w:r>
    </w:p>
    <w:p w:rsidR="00000000" w:rsidRPr="007C568B" w:rsidP="007C568B">
      <w:pPr>
        <w:pStyle w:val="ListBullet"/>
      </w:pPr>
      <w:r w:rsidRPr="007C568B">
        <w:t>automotive repair workplace or simulated workplace</w:t>
      </w:r>
    </w:p>
    <w:p w:rsidR="00000000" w:rsidRPr="007C568B" w:rsidP="007C568B">
      <w:pPr>
        <w:pStyle w:val="ListBullet"/>
      </w:pPr>
      <w:r w:rsidRPr="007C568B">
        <w:t>workplace instructions</w:t>
      </w:r>
    </w:p>
    <w:p w:rsidR="00000000" w:rsidRPr="007C568B" w:rsidP="007C568B">
      <w:pPr>
        <w:pStyle w:val="ListBullet"/>
      </w:pPr>
      <w:r w:rsidRPr="007C568B">
        <w:t>three different customers requiring advice on wheel and tyre combinations</w:t>
      </w:r>
    </w:p>
    <w:p w:rsidR="00000000" w:rsidRPr="007C568B" w:rsidP="007C568B">
      <w:pPr>
        <w:pStyle w:val="ListBullet"/>
      </w:pPr>
      <w:r w:rsidRPr="007C568B">
        <w:t xml:space="preserve">manufacturer wheel and tyre specifications </w:t>
      </w:r>
    </w:p>
    <w:p w:rsidR="00000000" w:rsidRPr="007C568B" w:rsidP="007C568B">
      <w:pPr>
        <w:pStyle w:val="ListBullet"/>
      </w:pPr>
      <w:r w:rsidRPr="007C568B">
        <w:t>ADRs relat</w:t>
      </w:r>
      <w:r w:rsidRPr="007C568B">
        <w:t>ing to wheel and tyre combinations.</w:t>
      </w:r>
    </w:p>
    <w:p w:rsidR="00000000" w:rsidRPr="007C568B" w:rsidP="007C568B">
      <w:pPr>
        <w:pStyle w:val="AllowPageBreak"/>
      </w:pPr>
    </w:p>
    <w:p w:rsidR="00000000" w:rsidRPr="007C568B" w:rsidP="007C568B">
      <w:pPr>
        <w:pStyle w:val="Heading1"/>
      </w:pPr>
      <w:bookmarkStart w:id="5" w:name="O_775232"/>
      <w:bookmarkEnd w:id="5"/>
      <w:r w:rsidRPr="007C568B">
        <w:t>Links</w:t>
      </w:r>
    </w:p>
    <w:p w:rsidR="00000000" w:rsidRPr="007C568B" w:rsidP="00342B3E">
      <w:pPr>
        <w:pStyle w:val="BodyText"/>
      </w:pPr>
      <w:r w:rsidRPr="007C56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D06D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568B" w:rsidP="00342B3E">
      <w:pPr>
        <w:pStyle w:val="BodyText"/>
      </w:pPr>
      <w:r w:rsidRPr="007C568B">
        <w:t>Companion Volume implementation guides ar</w:t>
      </w:r>
      <w:r w:rsidRPr="007C568B">
        <w:t xml:space="preserve">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D06D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C568B" w:rsidP="007C568B"/>
    <w:sectPr w:rsidSect="007C56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8B" w:rsidRPr="00342B3E" w:rsidP="00342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B3E" w:rsidP="007C5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2B3E" w:rsidP="007C5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B3E" w:rsidP="007C56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68B" w:rsidRPr="00342B3E" w:rsidP="00342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B3E" w:rsidRPr="002D2AF8" w:rsidP="007C5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AURLTJ004 Provide advice on the effects of wheel and tyre combinations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42B3E" w:rsidP="007C56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EC1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E1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C4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6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6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6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6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6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6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6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6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6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6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68B"/>
  </w:style>
  <w:style w:type="character" w:customStyle="1" w:styleId="Heading1Char">
    <w:name w:val="Heading 1 Char"/>
    <w:basedOn w:val="DefaultParagraphFont"/>
    <w:link w:val="Heading1"/>
    <w:rsid w:val="007C56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6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6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6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68B"/>
    <w:rPr>
      <w:b/>
      <w:spacing w:val="0"/>
    </w:rPr>
  </w:style>
  <w:style w:type="paragraph" w:styleId="ListBullet2">
    <w:name w:val="List Bullet 2"/>
    <w:basedOn w:val="List2"/>
    <w:rsid w:val="007C56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6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6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6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6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6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6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6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6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6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6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6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6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6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6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6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6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6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6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6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6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6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6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6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6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6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6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6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6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6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6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68B"/>
    <w:rPr>
      <w:i/>
    </w:rPr>
  </w:style>
  <w:style w:type="paragraph" w:styleId="Caption">
    <w:name w:val="caption"/>
    <w:basedOn w:val="BodyText"/>
    <w:next w:val="Normal"/>
    <w:qFormat/>
    <w:rsid w:val="007C56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6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6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68B"/>
  </w:style>
  <w:style w:type="paragraph" w:styleId="TableofFigures">
    <w:name w:val="table of figures"/>
    <w:basedOn w:val="Normal"/>
    <w:next w:val="Normal"/>
    <w:semiHidden/>
    <w:rsid w:val="007C56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68B"/>
    <w:pPr>
      <w:numPr>
        <w:numId w:val="11"/>
      </w:numPr>
    </w:pPr>
  </w:style>
  <w:style w:type="character" w:customStyle="1" w:styleId="WingdingSymbols">
    <w:name w:val="Wingding Symbols"/>
    <w:rsid w:val="007C568B"/>
    <w:rPr>
      <w:rFonts w:ascii="Wingdings" w:hAnsi="Wingdings"/>
    </w:rPr>
  </w:style>
  <w:style w:type="paragraph" w:customStyle="1" w:styleId="TableHeading">
    <w:name w:val="Table Heading"/>
    <w:basedOn w:val="HeadingBase"/>
    <w:rsid w:val="007C56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68B"/>
    <w:rPr>
      <w:color w:val="0033CC"/>
      <w:u w:val="none"/>
    </w:rPr>
  </w:style>
  <w:style w:type="paragraph" w:customStyle="1" w:styleId="BodyTextRight">
    <w:name w:val="Body Text Right"/>
    <w:basedOn w:val="BodyText"/>
    <w:rsid w:val="007C56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6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6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6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6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6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68B"/>
    <w:rPr>
      <w:sz w:val="32"/>
    </w:rPr>
  </w:style>
  <w:style w:type="paragraph" w:customStyle="1" w:styleId="HeadingProcedure">
    <w:name w:val="Heading Procedure"/>
    <w:basedOn w:val="HeadingBase"/>
    <w:next w:val="Normal"/>
    <w:rsid w:val="007C56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68B"/>
    <w:pPr>
      <w:spacing w:before="60" w:after="60"/>
    </w:pPr>
  </w:style>
  <w:style w:type="paragraph" w:styleId="ListContinue">
    <w:name w:val="List Continue"/>
    <w:basedOn w:val="List"/>
    <w:rsid w:val="007C568B"/>
    <w:pPr>
      <w:ind w:firstLine="0"/>
    </w:pPr>
  </w:style>
  <w:style w:type="paragraph" w:customStyle="1" w:styleId="ListNote">
    <w:name w:val="List Note"/>
    <w:basedOn w:val="List"/>
    <w:rsid w:val="007C56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6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6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68B"/>
    <w:rPr>
      <w:rFonts w:ascii="Courier New" w:hAnsi="Courier New"/>
    </w:rPr>
  </w:style>
  <w:style w:type="paragraph" w:customStyle="1" w:styleId="NoteBullet">
    <w:name w:val="Note Bullet"/>
    <w:basedOn w:val="Note"/>
    <w:rsid w:val="007C56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6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6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6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6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56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6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68B"/>
    <w:rPr>
      <w:b/>
      <w:smallCaps/>
    </w:rPr>
  </w:style>
  <w:style w:type="paragraph" w:customStyle="1" w:styleId="TableListNumber">
    <w:name w:val="Table List Number"/>
    <w:basedOn w:val="ListNumber"/>
    <w:rsid w:val="007C56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6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68B"/>
    <w:pPr>
      <w:numPr>
        <w:numId w:val="9"/>
      </w:numPr>
    </w:pPr>
  </w:style>
  <w:style w:type="paragraph" w:customStyle="1" w:styleId="ListAlpha2">
    <w:name w:val="List Alpha 2"/>
    <w:basedOn w:val="List2"/>
    <w:rsid w:val="007C568B"/>
    <w:pPr>
      <w:numPr>
        <w:numId w:val="8"/>
      </w:numPr>
    </w:pPr>
  </w:style>
  <w:style w:type="paragraph" w:styleId="List2">
    <w:name w:val="List 2"/>
    <w:basedOn w:val="BodyText"/>
    <w:rsid w:val="007C56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6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6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6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6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6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68B"/>
    <w:pPr>
      <w:numPr>
        <w:numId w:val="4"/>
      </w:numPr>
    </w:pPr>
  </w:style>
  <w:style w:type="paragraph" w:styleId="ListContinue2">
    <w:name w:val="List Continue 2"/>
    <w:basedOn w:val="List2"/>
    <w:rsid w:val="007C568B"/>
    <w:pPr>
      <w:ind w:firstLine="0"/>
    </w:pPr>
  </w:style>
  <w:style w:type="paragraph" w:styleId="ListContinue3">
    <w:name w:val="List Continue 3"/>
    <w:basedOn w:val="List3"/>
    <w:rsid w:val="007C568B"/>
    <w:pPr>
      <w:ind w:left="1021" w:firstLine="0"/>
    </w:pPr>
  </w:style>
  <w:style w:type="paragraph" w:styleId="ListContinue4">
    <w:name w:val="List Continue 4"/>
    <w:basedOn w:val="List4"/>
    <w:rsid w:val="007C568B"/>
    <w:pPr>
      <w:ind w:firstLine="0"/>
    </w:pPr>
  </w:style>
  <w:style w:type="paragraph" w:styleId="ListContinue5">
    <w:name w:val="List Continue 5"/>
    <w:basedOn w:val="List5"/>
    <w:rsid w:val="007C568B"/>
    <w:pPr>
      <w:ind w:firstLine="0"/>
    </w:pPr>
  </w:style>
  <w:style w:type="paragraph" w:styleId="ListNumber3">
    <w:name w:val="List Number 3"/>
    <w:basedOn w:val="List3"/>
    <w:rsid w:val="007C568B"/>
    <w:pPr>
      <w:numPr>
        <w:numId w:val="5"/>
      </w:numPr>
    </w:pPr>
  </w:style>
  <w:style w:type="paragraph" w:styleId="ListNumber4">
    <w:name w:val="List Number 4"/>
    <w:basedOn w:val="List4"/>
    <w:rsid w:val="007C568B"/>
    <w:pPr>
      <w:numPr>
        <w:numId w:val="6"/>
      </w:numPr>
    </w:pPr>
  </w:style>
  <w:style w:type="paragraph" w:styleId="ListNumber5">
    <w:name w:val="List Number 5"/>
    <w:basedOn w:val="List5"/>
    <w:rsid w:val="007C568B"/>
    <w:pPr>
      <w:numPr>
        <w:numId w:val="7"/>
      </w:numPr>
    </w:pPr>
  </w:style>
  <w:style w:type="paragraph" w:styleId="BlockText">
    <w:name w:val="Block Text"/>
    <w:basedOn w:val="Normal"/>
    <w:rsid w:val="007C56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6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68B"/>
    <w:rPr>
      <w:sz w:val="16"/>
      <w:vertAlign w:val="superscript"/>
    </w:rPr>
  </w:style>
  <w:style w:type="character" w:customStyle="1" w:styleId="Symbols">
    <w:name w:val="Symbols"/>
    <w:basedOn w:val="DefaultParagraphFont"/>
    <w:rsid w:val="007C568B"/>
    <w:rPr>
      <w:rFonts w:ascii="Symbol" w:hAnsi="Symbol"/>
    </w:rPr>
  </w:style>
  <w:style w:type="character" w:customStyle="1" w:styleId="MenuOptions">
    <w:name w:val="Menu Options"/>
    <w:basedOn w:val="DefaultParagraphFont"/>
    <w:rsid w:val="007C56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68B"/>
    <w:rPr>
      <w:b/>
    </w:rPr>
  </w:style>
  <w:style w:type="character" w:customStyle="1" w:styleId="Underlined">
    <w:name w:val="Underlined"/>
    <w:basedOn w:val="DefaultParagraphFont"/>
    <w:rsid w:val="007C568B"/>
    <w:rPr>
      <w:u w:val="single"/>
    </w:rPr>
  </w:style>
  <w:style w:type="paragraph" w:customStyle="1" w:styleId="TableBodyTextRight">
    <w:name w:val="Table Body Text Right"/>
    <w:basedOn w:val="TableBodyText"/>
    <w:rsid w:val="007C56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68B"/>
    <w:rPr>
      <w:sz w:val="18"/>
    </w:rPr>
  </w:style>
  <w:style w:type="paragraph" w:customStyle="1" w:styleId="BodySmallRight">
    <w:name w:val="Body Small Right"/>
    <w:basedOn w:val="BodyTextRight"/>
    <w:rsid w:val="007C568B"/>
    <w:rPr>
      <w:sz w:val="18"/>
      <w:szCs w:val="18"/>
    </w:rPr>
  </w:style>
  <w:style w:type="paragraph" w:customStyle="1" w:styleId="MarginEdition">
    <w:name w:val="Margin Edition"/>
    <w:basedOn w:val="MarginNote"/>
    <w:rsid w:val="007C56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68B"/>
    <w:rPr>
      <w:sz w:val="2"/>
      <w:szCs w:val="2"/>
    </w:rPr>
  </w:style>
  <w:style w:type="character" w:customStyle="1" w:styleId="Small">
    <w:name w:val="Small"/>
    <w:basedOn w:val="DefaultParagraphFont"/>
    <w:rsid w:val="007C568B"/>
    <w:rPr>
      <w:sz w:val="16"/>
    </w:rPr>
  </w:style>
  <w:style w:type="paragraph" w:customStyle="1" w:styleId="WideTable">
    <w:name w:val="Wide Table"/>
    <w:basedOn w:val="Normal"/>
    <w:rsid w:val="007C56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68B"/>
  </w:style>
  <w:style w:type="paragraph" w:styleId="Quote">
    <w:name w:val="Quote"/>
    <w:basedOn w:val="Heading1"/>
    <w:link w:val="QuoteChar"/>
    <w:qFormat/>
    <w:rsid w:val="007C56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6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68B"/>
    <w:pPr>
      <w:pageBreakBefore/>
    </w:pPr>
  </w:style>
  <w:style w:type="paragraph" w:customStyle="1" w:styleId="Border">
    <w:name w:val="Border"/>
    <w:basedOn w:val="Normal"/>
    <w:qFormat/>
    <w:rsid w:val="007C56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6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6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6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6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6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6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6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68B"/>
    <w:rPr>
      <w:u w:val="single"/>
    </w:rPr>
  </w:style>
  <w:style w:type="character" w:customStyle="1" w:styleId="BoldandItalics">
    <w:name w:val="Bold and Italics"/>
    <w:qFormat/>
    <w:rsid w:val="007C568B"/>
    <w:rPr>
      <w:b/>
      <w:i/>
      <w:u w:val="none"/>
    </w:rPr>
  </w:style>
  <w:style w:type="paragraph" w:styleId="BalloonText">
    <w:name w:val="Balloon Text"/>
    <w:basedOn w:val="Normal"/>
    <w:link w:val="BalloonTextChar"/>
    <w:rsid w:val="007C5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6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6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6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6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6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6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2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2315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AURLTJ004 Provide advice on the effects of wheel and tyre combinations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2018-12-07T02:15:00Z</dcterms:created>
  <dcterms:modified xsi:type="dcterms:W3CDTF">2018-12-07T02:15:00Z</dcterms:modified>
</cp:coreProperties>
</file>