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7DD" w:rsidP="00806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AURLTD106 Carry out light vehicle wheel alignment operations</w:t>
      </w:r>
      <w:r>
        <w:fldChar w:fldCharType="end"/>
      </w:r>
    </w:p>
    <w:p w:rsidR="008067DD" w:rsidP="008067DD">
      <w:pPr>
        <w:pStyle w:val="Version"/>
        <w:sectPr w:rsidSect="007A2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129" w:rsidP="007A2129">
      <w:pPr>
        <w:pStyle w:val="SuperHeading"/>
      </w:pPr>
      <w:r w:rsidRPr="007A2129">
        <w:t>Assessment Requirements for AURLTD106 Carry out light vehicle wheel alignment operations</w:t>
      </w:r>
    </w:p>
    <w:p w:rsidR="00000000" w:rsidRPr="007A2129" w:rsidP="007A2129">
      <w:pPr>
        <w:pStyle w:val="Heading1"/>
      </w:pPr>
      <w:bookmarkStart w:id="1" w:name="O_1113753"/>
      <w:bookmarkEnd w:id="1"/>
      <w:r w:rsidRPr="007A21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A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129" w:rsidP="007A2129">
            <w:pPr>
              <w:pStyle w:val="BodyText"/>
            </w:pPr>
            <w:r w:rsidRPr="007A212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29">
            <w:pPr>
              <w:pStyle w:val="BodyText"/>
              <w:rPr>
                <w:lang w:val="en-NZ"/>
              </w:rPr>
            </w:pPr>
            <w:r w:rsidRPr="007A2129">
              <w:rPr>
                <w:rStyle w:val="SpecialBold"/>
              </w:rPr>
              <w:t>Comments</w:t>
            </w:r>
          </w:p>
        </w:tc>
      </w:tr>
      <w:tr w:rsidTr="007A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29">
            <w:pPr>
              <w:pStyle w:val="BodyText"/>
              <w:rPr>
                <w:lang w:val="en-NZ"/>
              </w:rPr>
            </w:pPr>
            <w:r w:rsidRPr="007A212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129" w:rsidP="007A2129">
            <w:pPr>
              <w:pStyle w:val="BodyText"/>
            </w:pPr>
            <w:r w:rsidRPr="007A2129">
              <w:t>This version first released with AUR Automotive Retail, Serv</w:t>
            </w:r>
            <w:r w:rsidRPr="007A2129">
              <w:t>ice and Repair Training Package Version 6.0</w:t>
            </w:r>
          </w:p>
        </w:tc>
      </w:tr>
    </w:tbl>
    <w:p w:rsidR="00000000" w:rsidRPr="007A2129" w:rsidP="007A2129">
      <w:pPr>
        <w:pStyle w:val="BodyText"/>
      </w:pPr>
    </w:p>
    <w:p w:rsidR="00000000" w:rsidRPr="007A2129" w:rsidP="007A2129">
      <w:pPr>
        <w:pStyle w:val="AllowPageBreak"/>
      </w:pPr>
    </w:p>
    <w:p w:rsidR="00000000" w:rsidRPr="007A2129" w:rsidP="007A2129">
      <w:pPr>
        <w:pStyle w:val="Heading1"/>
      </w:pPr>
      <w:bookmarkStart w:id="2" w:name="O_1113756"/>
      <w:bookmarkEnd w:id="2"/>
      <w:r w:rsidRPr="007A2129">
        <w:t>Performance Evidence</w:t>
      </w:r>
    </w:p>
    <w:p w:rsidR="00000000" w:rsidRPr="007A2129" w:rsidP="008067DD">
      <w:pPr>
        <w:pStyle w:val="BodyText"/>
      </w:pPr>
      <w:r w:rsidRPr="007A2129">
        <w:t xml:space="preserve">The candidate must demonstrate the ability to complete the tasks outlined in the elements, performance criteria and foundation skills of this unit, including evidence of </w:t>
      </w:r>
      <w:r w:rsidRPr="007A2129">
        <w:t>the ability to:</w:t>
      </w:r>
    </w:p>
    <w:p w:rsidR="00000000" w:rsidRPr="007A2129" w:rsidP="007A2129">
      <w:pPr>
        <w:pStyle w:val="ListBullet"/>
      </w:pPr>
      <w:r w:rsidRPr="007A2129">
        <w:t>align all four wheels of:</w:t>
      </w:r>
    </w:p>
    <w:p w:rsidR="00000000" w:rsidRPr="007A2129" w:rsidP="007A2129">
      <w:pPr>
        <w:pStyle w:val="ListBullet2"/>
      </w:pPr>
      <w:r w:rsidRPr="007A2129">
        <w:t>one front wheel drive vehicle</w:t>
      </w:r>
    </w:p>
    <w:p w:rsidR="00000000" w:rsidRPr="007A2129" w:rsidP="007A2129">
      <w:pPr>
        <w:pStyle w:val="ListBullet2"/>
      </w:pPr>
      <w:r w:rsidRPr="007A2129">
        <w:t>one rear wheel drive vehicle</w:t>
      </w:r>
    </w:p>
    <w:p w:rsidR="00000000" w:rsidRPr="007A2129" w:rsidP="007A2129">
      <w:pPr>
        <w:pStyle w:val="ListBullet"/>
      </w:pPr>
      <w:r w:rsidRPr="007A2129">
        <w:t>while completing the above tasks, adjust all of the following steering angles:</w:t>
      </w:r>
    </w:p>
    <w:p w:rsidR="00000000" w:rsidRPr="007A2129" w:rsidP="007A2129">
      <w:pPr>
        <w:pStyle w:val="ListBullet2"/>
      </w:pPr>
      <w:r w:rsidRPr="007A2129">
        <w:t>camber</w:t>
      </w:r>
    </w:p>
    <w:p w:rsidR="00000000" w:rsidRPr="007A2129" w:rsidP="007A2129">
      <w:pPr>
        <w:pStyle w:val="ListBullet2"/>
      </w:pPr>
      <w:r w:rsidRPr="007A2129">
        <w:t>caster</w:t>
      </w:r>
    </w:p>
    <w:p w:rsidR="00000000" w:rsidRPr="007A2129" w:rsidP="007A2129">
      <w:pPr>
        <w:pStyle w:val="ListBullet2"/>
      </w:pPr>
      <w:r w:rsidRPr="007A2129">
        <w:t>steering axis inclination (SAI)</w:t>
      </w:r>
    </w:p>
    <w:p w:rsidR="00000000" w:rsidRPr="007A2129" w:rsidP="007A2129">
      <w:pPr>
        <w:pStyle w:val="ListBullet2"/>
      </w:pPr>
      <w:r w:rsidRPr="007A2129">
        <w:t>toe (toe-in and toe-out)</w:t>
      </w:r>
    </w:p>
    <w:p w:rsidR="00000000" w:rsidRPr="007A2129" w:rsidP="007A2129">
      <w:pPr>
        <w:pStyle w:val="ListBullet2"/>
      </w:pPr>
      <w:r w:rsidRPr="007A2129">
        <w:t>toe-out on turns.</w:t>
      </w:r>
    </w:p>
    <w:p w:rsidR="00000000" w:rsidRPr="007A2129" w:rsidP="007A2129">
      <w:pPr>
        <w:pStyle w:val="AllowPageBreak"/>
      </w:pPr>
    </w:p>
    <w:p w:rsidR="00000000" w:rsidRPr="007A2129" w:rsidP="007A2129">
      <w:pPr>
        <w:pStyle w:val="Heading1"/>
      </w:pPr>
      <w:bookmarkStart w:id="3" w:name="O_1113755"/>
      <w:bookmarkEnd w:id="3"/>
      <w:r w:rsidRPr="007A2129">
        <w:t>Knowledge Evidence</w:t>
      </w:r>
    </w:p>
    <w:p w:rsidR="00000000" w:rsidRPr="007A2129" w:rsidP="008067DD">
      <w:pPr>
        <w:pStyle w:val="BodyText"/>
      </w:pPr>
      <w:r w:rsidRPr="007A2129">
        <w:t>The candidate must be able to demonstrate knowledge to complete the tasks outlined in the elements, performance criteria and foundation skills of this unit, including knowledge of:</w:t>
      </w:r>
    </w:p>
    <w:p w:rsidR="00000000" w:rsidRPr="007A2129" w:rsidP="007A2129">
      <w:pPr>
        <w:pStyle w:val="ListBullet"/>
      </w:pPr>
      <w:r w:rsidRPr="007A2129">
        <w:t xml:space="preserve">methods to locate </w:t>
      </w:r>
      <w:r w:rsidRPr="007A2129">
        <w:t>and interpret information required to carry out light vehicle wheel alignment including:</w:t>
      </w:r>
    </w:p>
    <w:p w:rsidR="00000000" w:rsidRPr="007A2129" w:rsidP="007A2129">
      <w:pPr>
        <w:pStyle w:val="ListBullet2"/>
      </w:pPr>
      <w:r w:rsidRPr="007A2129">
        <w:t xml:space="preserve">manufacturer specifications and procedures </w:t>
      </w:r>
    </w:p>
    <w:p w:rsidR="00000000" w:rsidRPr="007A2129" w:rsidP="007A2129">
      <w:pPr>
        <w:pStyle w:val="ListBullet2"/>
      </w:pPr>
      <w:r w:rsidRPr="007A2129">
        <w:t xml:space="preserve">workplace procedures </w:t>
      </w:r>
    </w:p>
    <w:p w:rsidR="00000000" w:rsidRPr="007A2129" w:rsidP="007A2129">
      <w:pPr>
        <w:pStyle w:val="ListBullet"/>
      </w:pPr>
      <w:r w:rsidRPr="007A2129">
        <w:t>workplace procedures required to carry out light vehicle wheel alignment including:</w:t>
      </w:r>
    </w:p>
    <w:p w:rsidR="00000000" w:rsidRPr="007A2129" w:rsidP="007A2129">
      <w:pPr>
        <w:pStyle w:val="ListBullet2"/>
      </w:pPr>
      <w:r w:rsidRPr="007A2129">
        <w:t>establishing serviceability of tools and equipment</w:t>
      </w:r>
    </w:p>
    <w:p w:rsidR="00000000" w:rsidRPr="007A2129" w:rsidP="007A2129">
      <w:pPr>
        <w:pStyle w:val="ListBullet2"/>
      </w:pPr>
      <w:r w:rsidRPr="007A2129">
        <w:t>pre and post wheel alignment procedures</w:t>
      </w:r>
    </w:p>
    <w:p w:rsidR="00000000" w:rsidRPr="007A2129" w:rsidP="007A2129">
      <w:pPr>
        <w:pStyle w:val="ListBullet2"/>
      </w:pPr>
      <w:r w:rsidRPr="007A2129">
        <w:t>documentation procedures</w:t>
      </w:r>
    </w:p>
    <w:p w:rsidR="00000000" w:rsidRPr="007A2129" w:rsidP="007A2129">
      <w:pPr>
        <w:pStyle w:val="ListBullet2"/>
      </w:pPr>
      <w:r w:rsidRPr="007A2129">
        <w:t>housekeeping procedures including:</w:t>
      </w:r>
    </w:p>
    <w:p w:rsidR="00000000" w:rsidRPr="007A2129" w:rsidP="007A2129">
      <w:pPr>
        <w:pStyle w:val="ListBullet3"/>
      </w:pPr>
      <w:r w:rsidRPr="007A2129">
        <w:t>examination of tools and equipment</w:t>
      </w:r>
    </w:p>
    <w:p w:rsidR="00000000" w:rsidRPr="007A2129" w:rsidP="007A2129">
      <w:pPr>
        <w:pStyle w:val="ListBullet3"/>
      </w:pPr>
      <w:r w:rsidRPr="007A2129">
        <w:t>storage of equipment</w:t>
      </w:r>
    </w:p>
    <w:p w:rsidR="00000000" w:rsidRPr="007A2129" w:rsidP="007A2129">
      <w:pPr>
        <w:pStyle w:val="ListBullet3"/>
      </w:pPr>
      <w:r w:rsidRPr="007A2129">
        <w:t xml:space="preserve">identification, tagging and isolation of faulty </w:t>
      </w:r>
      <w:r w:rsidRPr="007A2129">
        <w:t>equipment</w:t>
      </w:r>
    </w:p>
    <w:p w:rsidR="00000000" w:rsidRPr="007A2129" w:rsidP="007A2129">
      <w:pPr>
        <w:pStyle w:val="ListBullet3"/>
      </w:pPr>
      <w:r w:rsidRPr="007A2129">
        <w:t>disposal of excess materials</w:t>
      </w:r>
    </w:p>
    <w:p w:rsidR="00000000" w:rsidRPr="007A2129" w:rsidP="007A2129">
      <w:pPr>
        <w:pStyle w:val="ListBullet3"/>
      </w:pPr>
      <w:r w:rsidRPr="007A2129">
        <w:t>recycling procedures</w:t>
      </w:r>
    </w:p>
    <w:p w:rsidR="00000000" w:rsidRPr="007A2129" w:rsidP="007A2129">
      <w:pPr>
        <w:pStyle w:val="ListBullet"/>
      </w:pPr>
      <w:r w:rsidRPr="007A2129">
        <w:t>workplace health and safety (WHS) requirements relating to light vehicle wheel alignment, including:</w:t>
      </w:r>
    </w:p>
    <w:p w:rsidR="00000000" w:rsidRPr="007A2129" w:rsidP="007A2129">
      <w:pPr>
        <w:pStyle w:val="ListBullet2"/>
      </w:pPr>
      <w:r w:rsidRPr="007A2129">
        <w:t>procedures for using air jacks</w:t>
      </w:r>
    </w:p>
    <w:p w:rsidR="00000000" w:rsidRPr="007A2129" w:rsidP="007A2129">
      <w:pPr>
        <w:pStyle w:val="ListBullet"/>
      </w:pPr>
      <w:r w:rsidRPr="007A2129">
        <w:t>steering geometry and wheel alignment angles, including:</w:t>
      </w:r>
    </w:p>
    <w:p w:rsidR="00000000" w:rsidRPr="007A2129" w:rsidP="007A2129">
      <w:pPr>
        <w:pStyle w:val="ListBullet2"/>
      </w:pPr>
      <w:r w:rsidRPr="007A2129">
        <w:t>Ackermann principle of steering</w:t>
      </w:r>
    </w:p>
    <w:p w:rsidR="00000000" w:rsidRPr="007A2129" w:rsidP="007A2129">
      <w:pPr>
        <w:pStyle w:val="ListBullet2"/>
      </w:pPr>
      <w:r w:rsidRPr="007A2129">
        <w:t>camber</w:t>
      </w:r>
    </w:p>
    <w:p w:rsidR="00000000" w:rsidRPr="007A2129" w:rsidP="007A2129">
      <w:pPr>
        <w:pStyle w:val="ListBullet2"/>
      </w:pPr>
      <w:r w:rsidRPr="007A2129">
        <w:t>caster</w:t>
      </w:r>
    </w:p>
    <w:p w:rsidR="00000000" w:rsidRPr="007A2129" w:rsidP="007A2129">
      <w:pPr>
        <w:pStyle w:val="ListBullet2"/>
      </w:pPr>
      <w:r w:rsidRPr="007A2129">
        <w:t>SAI</w:t>
      </w:r>
    </w:p>
    <w:p w:rsidR="00000000" w:rsidRPr="007A2129" w:rsidP="007A2129">
      <w:pPr>
        <w:pStyle w:val="ListBullet2"/>
      </w:pPr>
      <w:r w:rsidRPr="007A2129">
        <w:t>thrust angle</w:t>
      </w:r>
    </w:p>
    <w:p w:rsidR="00000000" w:rsidRPr="007A2129" w:rsidP="007A2129">
      <w:pPr>
        <w:pStyle w:val="ListBullet2"/>
      </w:pPr>
      <w:r w:rsidRPr="007A2129">
        <w:t>toe-in and toe-out</w:t>
      </w:r>
    </w:p>
    <w:p w:rsidR="00000000" w:rsidRPr="007A2129" w:rsidP="007A2129">
      <w:pPr>
        <w:pStyle w:val="ListBullet2"/>
      </w:pPr>
      <w:r w:rsidRPr="007A2129">
        <w:t>toe-out on turns</w:t>
      </w:r>
    </w:p>
    <w:p w:rsidR="00000000" w:rsidRPr="007A2129" w:rsidP="007A2129">
      <w:pPr>
        <w:pStyle w:val="ListBullet2"/>
      </w:pPr>
      <w:r w:rsidRPr="007A2129">
        <w:t>included angle</w:t>
      </w:r>
    </w:p>
    <w:p w:rsidR="00000000" w:rsidRPr="007A2129" w:rsidP="007A2129">
      <w:pPr>
        <w:pStyle w:val="ListBullet2"/>
      </w:pPr>
      <w:r w:rsidRPr="007A2129">
        <w:t>point of intersection</w:t>
      </w:r>
    </w:p>
    <w:p w:rsidR="00000000" w:rsidRPr="007A2129" w:rsidP="007A2129">
      <w:pPr>
        <w:pStyle w:val="ListBullet2"/>
      </w:pPr>
      <w:r w:rsidRPr="007A2129">
        <w:t>scrub radius</w:t>
      </w:r>
    </w:p>
    <w:p w:rsidR="00000000" w:rsidRPr="007A2129" w:rsidP="007A2129">
      <w:pPr>
        <w:pStyle w:val="ListBullet"/>
      </w:pPr>
      <w:r w:rsidRPr="007A2129">
        <w:t>vehicle pre-alignment inspection procedures, including:</w:t>
      </w:r>
    </w:p>
    <w:p w:rsidR="00000000" w:rsidRPr="007A2129" w:rsidP="007A2129">
      <w:pPr>
        <w:pStyle w:val="ListBullet2"/>
      </w:pPr>
      <w:r w:rsidRPr="007A2129">
        <w:t>analysing tyre wear</w:t>
      </w:r>
    </w:p>
    <w:p w:rsidR="00000000" w:rsidRPr="007A2129" w:rsidP="007A2129">
      <w:pPr>
        <w:pStyle w:val="ListBullet2"/>
      </w:pPr>
      <w:r w:rsidRPr="007A2129">
        <w:t>determining wheel run-out</w:t>
      </w:r>
    </w:p>
    <w:p w:rsidR="00000000" w:rsidRPr="007A2129" w:rsidP="007A2129">
      <w:pPr>
        <w:pStyle w:val="ListBullet2"/>
      </w:pPr>
      <w:r w:rsidRPr="007A2129">
        <w:t>determining vehicle height</w:t>
      </w:r>
    </w:p>
    <w:p w:rsidR="00000000" w:rsidRPr="007A2129" w:rsidP="007A2129">
      <w:pPr>
        <w:pStyle w:val="ListBullet2"/>
      </w:pPr>
      <w:r w:rsidRPr="007A2129">
        <w:t>checking frame alignment</w:t>
      </w:r>
    </w:p>
    <w:p w:rsidR="00000000" w:rsidRPr="007A2129" w:rsidP="007A2129">
      <w:pPr>
        <w:pStyle w:val="ListBullet"/>
      </w:pPr>
      <w:r w:rsidRPr="007A2129">
        <w:t>types and operation of wheel alignment systems, including:</w:t>
      </w:r>
    </w:p>
    <w:p w:rsidR="00000000" w:rsidRPr="007A2129" w:rsidP="007A2129">
      <w:pPr>
        <w:pStyle w:val="ListBullet2"/>
      </w:pPr>
      <w:r w:rsidRPr="007A2129">
        <w:t>laser aligners</w:t>
      </w:r>
    </w:p>
    <w:p w:rsidR="00000000" w:rsidRPr="007A2129" w:rsidP="007A2129">
      <w:pPr>
        <w:pStyle w:val="ListBullet2"/>
      </w:pPr>
      <w:r w:rsidRPr="007A2129">
        <w:t>visual aligners</w:t>
      </w:r>
    </w:p>
    <w:p w:rsidR="00000000" w:rsidRPr="007A2129" w:rsidP="007A2129">
      <w:pPr>
        <w:pStyle w:val="ListBullet2"/>
      </w:pPr>
      <w:r w:rsidRPr="007A2129">
        <w:t>camera aligners</w:t>
      </w:r>
    </w:p>
    <w:p w:rsidR="00000000" w:rsidRPr="007A2129" w:rsidP="007A2129">
      <w:pPr>
        <w:pStyle w:val="ListBullet"/>
      </w:pPr>
      <w:r w:rsidRPr="007A2129">
        <w:t>relationships between fault symptoms and component defects</w:t>
      </w:r>
    </w:p>
    <w:p w:rsidR="00000000" w:rsidRPr="007A2129" w:rsidP="007A2129">
      <w:pPr>
        <w:pStyle w:val="ListBullet"/>
      </w:pPr>
      <w:r w:rsidRPr="007A2129">
        <w:t>procedures for measuring and adjusting steering angles, including:</w:t>
      </w:r>
    </w:p>
    <w:p w:rsidR="00000000" w:rsidRPr="007A2129" w:rsidP="007A2129">
      <w:pPr>
        <w:pStyle w:val="ListBullet2"/>
      </w:pPr>
      <w:r w:rsidRPr="007A2129">
        <w:t>camber</w:t>
      </w:r>
    </w:p>
    <w:p w:rsidR="00000000" w:rsidRPr="007A2129" w:rsidP="007A2129">
      <w:pPr>
        <w:pStyle w:val="ListBullet2"/>
      </w:pPr>
      <w:r w:rsidRPr="007A2129">
        <w:t>caster</w:t>
      </w:r>
    </w:p>
    <w:p w:rsidR="00000000" w:rsidRPr="007A2129" w:rsidP="007A2129">
      <w:pPr>
        <w:pStyle w:val="ListBullet2"/>
      </w:pPr>
      <w:r w:rsidRPr="007A2129">
        <w:t>steering axis inclination</w:t>
      </w:r>
    </w:p>
    <w:p w:rsidR="00000000" w:rsidRPr="007A2129" w:rsidP="007A2129">
      <w:pPr>
        <w:pStyle w:val="ListBullet2"/>
      </w:pPr>
      <w:r w:rsidRPr="007A2129">
        <w:t>thrust angle</w:t>
      </w:r>
    </w:p>
    <w:p w:rsidR="00000000" w:rsidRPr="007A2129" w:rsidP="007A2129">
      <w:pPr>
        <w:pStyle w:val="ListBullet2"/>
      </w:pPr>
      <w:r w:rsidRPr="007A2129">
        <w:t>toe</w:t>
      </w:r>
    </w:p>
    <w:p w:rsidR="00000000" w:rsidRPr="007A2129" w:rsidP="007A2129">
      <w:pPr>
        <w:pStyle w:val="ListBullet2"/>
      </w:pPr>
      <w:r w:rsidRPr="007A2129">
        <w:t>toe-out on turns</w:t>
      </w:r>
    </w:p>
    <w:p w:rsidR="00000000" w:rsidRPr="007A2129" w:rsidP="007A2129">
      <w:pPr>
        <w:pStyle w:val="ListBullet"/>
      </w:pPr>
      <w:r w:rsidRPr="007A2129">
        <w:t>procedures for carrying out four-wheel alignment</w:t>
      </w:r>
    </w:p>
    <w:p w:rsidR="00000000" w:rsidRPr="007A2129" w:rsidP="007A2129">
      <w:pPr>
        <w:pStyle w:val="ListBullet"/>
      </w:pPr>
      <w:r w:rsidRPr="007A2129">
        <w:t>post-wheel alignment testing procedures for light vehicles inclu</w:t>
      </w:r>
      <w:r w:rsidRPr="007A2129">
        <w:t>ding steering system reset procedures to calibrate on-board system sensors with the steering geometry.</w:t>
      </w:r>
    </w:p>
    <w:p w:rsidR="00000000" w:rsidRPr="007A2129" w:rsidP="007A2129">
      <w:pPr>
        <w:pStyle w:val="AllowPageBreak"/>
      </w:pPr>
    </w:p>
    <w:p w:rsidR="00000000" w:rsidRPr="007A2129" w:rsidP="007A2129">
      <w:pPr>
        <w:pStyle w:val="Heading1"/>
      </w:pPr>
      <w:bookmarkStart w:id="4" w:name="O_1113754"/>
      <w:bookmarkEnd w:id="4"/>
      <w:r w:rsidRPr="007A2129">
        <w:t>Assessment Conditions</w:t>
      </w:r>
    </w:p>
    <w:p w:rsidR="00000000" w:rsidRPr="007A2129" w:rsidP="008067DD">
      <w:pPr>
        <w:pStyle w:val="BodyText"/>
      </w:pPr>
      <w:r w:rsidRPr="007A2129">
        <w:t>Competency is to be assessed</w:t>
      </w:r>
      <w:r w:rsidRPr="007A2129">
        <w:t xml:space="preserve"> in the workplace or a simulated environment that accurately reflects performance in a real workplace setting.</w:t>
      </w:r>
    </w:p>
    <w:p w:rsidR="00000000" w:rsidRPr="007A2129" w:rsidP="008067DD">
      <w:pPr>
        <w:pStyle w:val="BodyText"/>
      </w:pPr>
      <w:r w:rsidRPr="007A2129">
        <w:t>Assessment must include direct observation of tasks.</w:t>
      </w:r>
    </w:p>
    <w:p w:rsidR="00000000" w:rsidRPr="007A2129" w:rsidP="008067DD">
      <w:pPr>
        <w:pStyle w:val="BodyText"/>
      </w:pPr>
      <w:r w:rsidRPr="007A2129">
        <w:t>Where assessment of competency includes third-party evidence, individuals must provide evide</w:t>
      </w:r>
      <w:r w:rsidRPr="007A2129">
        <w:t>nce that links them to the vehicle wheel alignments that they have carried out, e.g. repair orders.</w:t>
      </w:r>
    </w:p>
    <w:p w:rsidR="00000000" w:rsidRPr="007A2129" w:rsidP="008067DD">
      <w:pPr>
        <w:pStyle w:val="BodyText"/>
      </w:pPr>
      <w:r w:rsidRPr="007A2129">
        <w:t>Assessors must verify performance evidence through questioning on skills and knowledge to ensure correct interpretation and application.</w:t>
      </w:r>
    </w:p>
    <w:p w:rsidR="00000000" w:rsidRPr="007A2129" w:rsidP="008067DD">
      <w:pPr>
        <w:pStyle w:val="BodyText"/>
      </w:pPr>
      <w:r w:rsidRPr="007A2129">
        <w:t>The following resou</w:t>
      </w:r>
      <w:r w:rsidRPr="007A2129">
        <w:t>rces must be made available:</w:t>
      </w:r>
    </w:p>
    <w:p w:rsidR="00000000" w:rsidRPr="007A2129" w:rsidP="007A2129">
      <w:pPr>
        <w:pStyle w:val="ListBullet"/>
      </w:pPr>
      <w:r w:rsidRPr="007A2129">
        <w:t>automotive repair workplace or simulated workplace</w:t>
      </w:r>
    </w:p>
    <w:p w:rsidR="00000000" w:rsidRPr="007A2129" w:rsidP="007A2129">
      <w:pPr>
        <w:pStyle w:val="ListBullet"/>
      </w:pPr>
      <w:r w:rsidRPr="007A2129">
        <w:t>workplace instructions</w:t>
      </w:r>
    </w:p>
    <w:p w:rsidR="00000000" w:rsidRPr="007A2129" w:rsidP="007A2129">
      <w:pPr>
        <w:pStyle w:val="ListBullet"/>
      </w:pPr>
      <w:r w:rsidRPr="007A2129">
        <w:t>manufacturer wheel alignment specifications</w:t>
      </w:r>
    </w:p>
    <w:p w:rsidR="00000000" w:rsidRPr="007A2129" w:rsidP="007A2129">
      <w:pPr>
        <w:pStyle w:val="ListBullet"/>
      </w:pPr>
      <w:r w:rsidRPr="007A2129">
        <w:t>one front wheel drive light vehicle and one rear wheel drive light vehicle requiring the adjustments specifi</w:t>
      </w:r>
      <w:r w:rsidRPr="007A2129">
        <w:t>ed in the performance evidence</w:t>
      </w:r>
    </w:p>
    <w:p w:rsidR="00000000" w:rsidRPr="007A2129" w:rsidP="007A2129">
      <w:pPr>
        <w:pStyle w:val="ListBullet"/>
      </w:pPr>
      <w:r w:rsidRPr="007A2129">
        <w:t>wheel alignment equipment for light vehicles</w:t>
      </w:r>
    </w:p>
    <w:p w:rsidR="00000000" w:rsidRPr="007A2129" w:rsidP="007A2129">
      <w:pPr>
        <w:pStyle w:val="ListBullet"/>
      </w:pPr>
      <w:r w:rsidRPr="007A2129">
        <w:t>tools, equipment and materials appropriate for carrying out wheel alignment operations on light vehicles.</w:t>
      </w:r>
    </w:p>
    <w:p w:rsidR="00000000" w:rsidRPr="007A2129" w:rsidP="007A2129">
      <w:pPr>
        <w:pStyle w:val="List"/>
      </w:pPr>
    </w:p>
    <w:p w:rsidR="00000000" w:rsidRPr="007A2129" w:rsidP="008067DD">
      <w:pPr>
        <w:pStyle w:val="BodyText"/>
      </w:pPr>
      <w:r w:rsidRPr="007A2129">
        <w:t>Assessors of this unit must satisfy the requirements for assessors in app</w:t>
      </w:r>
      <w:r w:rsidRPr="007A2129">
        <w:t>licable vocational education and training legislation, frameworks and/or standards.</w:t>
      </w:r>
    </w:p>
    <w:p w:rsidR="00000000" w:rsidRPr="007A2129" w:rsidP="007A2129">
      <w:pPr>
        <w:pStyle w:val="Heading1"/>
      </w:pPr>
      <w:bookmarkStart w:id="5" w:name="O_1113752"/>
      <w:bookmarkEnd w:id="5"/>
      <w:r w:rsidRPr="007A2129">
        <w:t>Links</w:t>
      </w:r>
    </w:p>
    <w:p w:rsidR="00000000" w:rsidRPr="007A2129" w:rsidP="008067DD">
      <w:pPr>
        <w:pStyle w:val="BodyText"/>
      </w:pPr>
      <w:r w:rsidRPr="007A21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59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2129" w:rsidP="007A2129"/>
    <w:sectPr w:rsidSect="007A2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29" w:rsidRPr="008067DD" w:rsidP="00806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DD" w:rsidP="007A2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7DD" w:rsidP="007A2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7DD" w:rsidP="007A2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129" w:rsidRPr="008067DD" w:rsidP="00806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DD" w:rsidRPr="002D2AF8" w:rsidP="007A2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AURLTD106 Carry out light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067DD" w:rsidP="007A2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6A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CF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CC2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129"/>
  </w:style>
  <w:style w:type="character" w:customStyle="1" w:styleId="Heading1Char">
    <w:name w:val="Heading 1 Char"/>
    <w:basedOn w:val="DefaultParagraphFont"/>
    <w:link w:val="Heading1"/>
    <w:rsid w:val="007A2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1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2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1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129"/>
    <w:rPr>
      <w:b/>
      <w:spacing w:val="0"/>
    </w:rPr>
  </w:style>
  <w:style w:type="paragraph" w:styleId="ListBullet2">
    <w:name w:val="List Bullet 2"/>
    <w:basedOn w:val="List2"/>
    <w:rsid w:val="007A21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21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2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1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129"/>
    <w:rPr>
      <w:i/>
    </w:rPr>
  </w:style>
  <w:style w:type="paragraph" w:styleId="Caption">
    <w:name w:val="caption"/>
    <w:basedOn w:val="BodyText"/>
    <w:next w:val="Normal"/>
    <w:qFormat/>
    <w:rsid w:val="007A2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129"/>
  </w:style>
  <w:style w:type="paragraph" w:styleId="TableofFigures">
    <w:name w:val="table of figures"/>
    <w:basedOn w:val="Normal"/>
    <w:next w:val="Normal"/>
    <w:semiHidden/>
    <w:rsid w:val="007A2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1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2129"/>
    <w:rPr>
      <w:rFonts w:ascii="Wingdings" w:hAnsi="Wingdings"/>
    </w:rPr>
  </w:style>
  <w:style w:type="paragraph" w:customStyle="1" w:styleId="TableHeading">
    <w:name w:val="Table Heading"/>
    <w:basedOn w:val="HeadingBase"/>
    <w:rsid w:val="007A2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129"/>
    <w:rPr>
      <w:color w:val="0033CC"/>
      <w:u w:val="none"/>
    </w:rPr>
  </w:style>
  <w:style w:type="paragraph" w:customStyle="1" w:styleId="BodyTextRight">
    <w:name w:val="Body Text Right"/>
    <w:basedOn w:val="BodyText"/>
    <w:rsid w:val="007A2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1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129"/>
    <w:rPr>
      <w:sz w:val="32"/>
    </w:rPr>
  </w:style>
  <w:style w:type="paragraph" w:customStyle="1" w:styleId="HeadingProcedure">
    <w:name w:val="Heading Procedure"/>
    <w:basedOn w:val="HeadingBase"/>
    <w:next w:val="Normal"/>
    <w:rsid w:val="007A2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129"/>
    <w:pPr>
      <w:spacing w:before="60" w:after="60"/>
    </w:pPr>
  </w:style>
  <w:style w:type="paragraph" w:styleId="ListContinue">
    <w:name w:val="List Continue"/>
    <w:basedOn w:val="List"/>
    <w:rsid w:val="007A2129"/>
    <w:pPr>
      <w:ind w:firstLine="0"/>
    </w:pPr>
  </w:style>
  <w:style w:type="paragraph" w:customStyle="1" w:styleId="ListNote">
    <w:name w:val="List Note"/>
    <w:basedOn w:val="List"/>
    <w:rsid w:val="007A2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129"/>
    <w:rPr>
      <w:rFonts w:ascii="Courier New" w:hAnsi="Courier New"/>
    </w:rPr>
  </w:style>
  <w:style w:type="paragraph" w:customStyle="1" w:styleId="NoteBullet">
    <w:name w:val="Note Bullet"/>
    <w:basedOn w:val="Note"/>
    <w:rsid w:val="007A2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1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129"/>
    <w:rPr>
      <w:b/>
      <w:smallCaps/>
    </w:rPr>
  </w:style>
  <w:style w:type="paragraph" w:customStyle="1" w:styleId="TableListNumber">
    <w:name w:val="Table List Number"/>
    <w:basedOn w:val="ListNumber"/>
    <w:rsid w:val="007A2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129"/>
    <w:pPr>
      <w:numPr>
        <w:numId w:val="10"/>
      </w:numPr>
    </w:pPr>
  </w:style>
  <w:style w:type="paragraph" w:customStyle="1" w:styleId="ListAlpha2">
    <w:name w:val="List Alpha 2"/>
    <w:basedOn w:val="List2"/>
    <w:rsid w:val="007A2129"/>
    <w:pPr>
      <w:numPr>
        <w:numId w:val="9"/>
      </w:numPr>
    </w:pPr>
  </w:style>
  <w:style w:type="paragraph" w:styleId="List2">
    <w:name w:val="List 2"/>
    <w:basedOn w:val="BodyText"/>
    <w:rsid w:val="007A2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1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21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2129"/>
    <w:pPr>
      <w:numPr>
        <w:numId w:val="5"/>
      </w:numPr>
    </w:pPr>
  </w:style>
  <w:style w:type="paragraph" w:styleId="ListContinue2">
    <w:name w:val="List Continue 2"/>
    <w:basedOn w:val="List2"/>
    <w:rsid w:val="007A2129"/>
    <w:pPr>
      <w:ind w:firstLine="0"/>
    </w:pPr>
  </w:style>
  <w:style w:type="paragraph" w:styleId="ListContinue3">
    <w:name w:val="List Continue 3"/>
    <w:basedOn w:val="List3"/>
    <w:rsid w:val="007A2129"/>
    <w:pPr>
      <w:ind w:left="1021" w:firstLine="0"/>
    </w:pPr>
  </w:style>
  <w:style w:type="paragraph" w:styleId="ListContinue4">
    <w:name w:val="List Continue 4"/>
    <w:basedOn w:val="List4"/>
    <w:rsid w:val="007A2129"/>
    <w:pPr>
      <w:ind w:firstLine="0"/>
    </w:pPr>
  </w:style>
  <w:style w:type="paragraph" w:styleId="ListContinue5">
    <w:name w:val="List Continue 5"/>
    <w:basedOn w:val="List5"/>
    <w:rsid w:val="007A2129"/>
    <w:pPr>
      <w:ind w:firstLine="0"/>
    </w:pPr>
  </w:style>
  <w:style w:type="paragraph" w:styleId="ListNumber3">
    <w:name w:val="List Number 3"/>
    <w:basedOn w:val="List3"/>
    <w:rsid w:val="007A2129"/>
    <w:pPr>
      <w:numPr>
        <w:numId w:val="6"/>
      </w:numPr>
    </w:pPr>
  </w:style>
  <w:style w:type="paragraph" w:styleId="ListNumber4">
    <w:name w:val="List Number 4"/>
    <w:basedOn w:val="List4"/>
    <w:rsid w:val="007A2129"/>
    <w:pPr>
      <w:numPr>
        <w:numId w:val="7"/>
      </w:numPr>
    </w:pPr>
  </w:style>
  <w:style w:type="paragraph" w:styleId="ListNumber5">
    <w:name w:val="List Number 5"/>
    <w:basedOn w:val="List5"/>
    <w:rsid w:val="007A2129"/>
    <w:pPr>
      <w:numPr>
        <w:numId w:val="8"/>
      </w:numPr>
    </w:pPr>
  </w:style>
  <w:style w:type="paragraph" w:styleId="BlockText">
    <w:name w:val="Block Text"/>
    <w:basedOn w:val="Normal"/>
    <w:rsid w:val="007A2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129"/>
    <w:rPr>
      <w:sz w:val="16"/>
      <w:vertAlign w:val="superscript"/>
    </w:rPr>
  </w:style>
  <w:style w:type="character" w:customStyle="1" w:styleId="Symbols">
    <w:name w:val="Symbols"/>
    <w:basedOn w:val="DefaultParagraphFont"/>
    <w:rsid w:val="007A2129"/>
    <w:rPr>
      <w:rFonts w:ascii="Symbol" w:hAnsi="Symbol"/>
    </w:rPr>
  </w:style>
  <w:style w:type="character" w:customStyle="1" w:styleId="MenuOptions">
    <w:name w:val="Menu Options"/>
    <w:basedOn w:val="DefaultParagraphFont"/>
    <w:rsid w:val="007A2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129"/>
    <w:rPr>
      <w:b/>
    </w:rPr>
  </w:style>
  <w:style w:type="character" w:customStyle="1" w:styleId="Underlined">
    <w:name w:val="Underlined"/>
    <w:basedOn w:val="DefaultParagraphFont"/>
    <w:rsid w:val="007A2129"/>
    <w:rPr>
      <w:u w:val="single"/>
    </w:rPr>
  </w:style>
  <w:style w:type="paragraph" w:customStyle="1" w:styleId="TableBodyTextRight">
    <w:name w:val="Table Body Text Right"/>
    <w:basedOn w:val="TableBodyText"/>
    <w:rsid w:val="007A2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129"/>
    <w:rPr>
      <w:sz w:val="18"/>
    </w:rPr>
  </w:style>
  <w:style w:type="paragraph" w:customStyle="1" w:styleId="BodySmallRight">
    <w:name w:val="Body Small Right"/>
    <w:basedOn w:val="BodyTextRight"/>
    <w:rsid w:val="007A2129"/>
    <w:rPr>
      <w:sz w:val="18"/>
      <w:szCs w:val="18"/>
    </w:rPr>
  </w:style>
  <w:style w:type="paragraph" w:customStyle="1" w:styleId="MarginEdition">
    <w:name w:val="Margin Edition"/>
    <w:basedOn w:val="MarginNote"/>
    <w:rsid w:val="007A2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129"/>
    <w:rPr>
      <w:sz w:val="2"/>
      <w:szCs w:val="2"/>
    </w:rPr>
  </w:style>
  <w:style w:type="character" w:customStyle="1" w:styleId="Small">
    <w:name w:val="Small"/>
    <w:basedOn w:val="DefaultParagraphFont"/>
    <w:rsid w:val="007A2129"/>
    <w:rPr>
      <w:sz w:val="16"/>
    </w:rPr>
  </w:style>
  <w:style w:type="paragraph" w:customStyle="1" w:styleId="WideTable">
    <w:name w:val="Wide Table"/>
    <w:basedOn w:val="Normal"/>
    <w:rsid w:val="007A2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129"/>
  </w:style>
  <w:style w:type="paragraph" w:styleId="Quote">
    <w:name w:val="Quote"/>
    <w:basedOn w:val="Heading1"/>
    <w:link w:val="QuoteChar"/>
    <w:qFormat/>
    <w:rsid w:val="007A2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129"/>
    <w:pPr>
      <w:pageBreakBefore/>
    </w:pPr>
  </w:style>
  <w:style w:type="paragraph" w:customStyle="1" w:styleId="Border">
    <w:name w:val="Border"/>
    <w:basedOn w:val="Normal"/>
    <w:qFormat/>
    <w:rsid w:val="007A2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129"/>
    <w:rPr>
      <w:u w:val="single"/>
    </w:rPr>
  </w:style>
  <w:style w:type="character" w:customStyle="1" w:styleId="BoldandItalics">
    <w:name w:val="Bold and Italics"/>
    <w:qFormat/>
    <w:rsid w:val="007A2129"/>
    <w:rPr>
      <w:b/>
      <w:i/>
      <w:u w:val="none"/>
    </w:rPr>
  </w:style>
  <w:style w:type="paragraph" w:styleId="BalloonText">
    <w:name w:val="Balloon Text"/>
    <w:basedOn w:val="Normal"/>
    <w:link w:val="BalloonTextChar"/>
    <w:rsid w:val="007A2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129"/>
    <w:pPr>
      <w:spacing w:before="0" w:after="0"/>
    </w:pPr>
  </w:style>
  <w:style w:type="paragraph" w:customStyle="1" w:styleId="BodyTextBold">
    <w:name w:val="Body Text Bold"/>
    <w:basedOn w:val="BodyText"/>
    <w:qFormat/>
    <w:rsid w:val="007A2129"/>
    <w:rPr>
      <w:b/>
    </w:rPr>
  </w:style>
  <w:style w:type="character" w:styleId="Hyperlink">
    <w:name w:val="Hyperlink"/>
    <w:basedOn w:val="DefaultParagraphFont"/>
    <w:uiPriority w:val="99"/>
    <w:unhideWhenUsed/>
    <w:rsid w:val="00806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3546</Characters>
  <Application>Microsoft Office Word</Application>
  <DocSecurity>0</DocSecurity>
  <Lines>110</Lines>
  <Paragraphs>94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AURLTD106 Carry out light vehicle wheel alignment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2022-02-23T11:20:00Z</dcterms:created>
  <dcterms:modified xsi:type="dcterms:W3CDTF">2022-02-23T11:20:00Z</dcterms:modified>
</cp:coreProperties>
</file>