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444" w:rsidP="008A7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AURLTD006 Carry out light vehicle wheel alignment operations</w:t>
      </w:r>
      <w:r>
        <w:fldChar w:fldCharType="end"/>
      </w:r>
    </w:p>
    <w:p w:rsidR="008A7444" w:rsidP="008A7444">
      <w:pPr>
        <w:pStyle w:val="Version"/>
        <w:sectPr w:rsidSect="00131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73B" w:rsidP="0013173B">
      <w:pPr>
        <w:pStyle w:val="SuperHeading"/>
      </w:pPr>
      <w:r w:rsidRPr="0013173B">
        <w:t>Assessment Requirements for AURLTD006 Carry out light vehicle wheel alignment operations</w:t>
      </w:r>
    </w:p>
    <w:p w:rsidR="00000000" w:rsidRPr="0013173B" w:rsidP="0013173B">
      <w:pPr>
        <w:pStyle w:val="Heading1"/>
      </w:pPr>
      <w:bookmarkStart w:id="1" w:name="O_775036"/>
      <w:bookmarkEnd w:id="1"/>
      <w:r w:rsidRPr="0013173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A74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73B" w:rsidP="0013173B">
            <w:pPr>
              <w:pStyle w:val="BodyText"/>
            </w:pPr>
            <w:r w:rsidRPr="0013173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73B">
            <w:pPr>
              <w:pStyle w:val="BodyText"/>
              <w:rPr>
                <w:lang w:val="en-NZ"/>
              </w:rPr>
            </w:pPr>
            <w:r w:rsidRPr="0013173B">
              <w:rPr>
                <w:rStyle w:val="SpecialBold"/>
              </w:rPr>
              <w:t>Comment</w:t>
            </w:r>
          </w:p>
        </w:tc>
      </w:tr>
      <w:tr w:rsidTr="008A74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73B">
            <w:pPr>
              <w:pStyle w:val="BodyText"/>
              <w:rPr>
                <w:lang w:val="en-NZ"/>
              </w:rPr>
            </w:pPr>
            <w:r w:rsidRPr="0013173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73B" w:rsidP="0013173B">
            <w:pPr>
              <w:pStyle w:val="BodyText"/>
            </w:pPr>
            <w:r w:rsidRPr="0013173B">
              <w:t>New unit of competency.</w:t>
            </w:r>
          </w:p>
        </w:tc>
      </w:tr>
    </w:tbl>
    <w:p w:rsidR="00000000" w:rsidRPr="0013173B" w:rsidP="0013173B">
      <w:pPr>
        <w:pStyle w:val="BodyText"/>
      </w:pPr>
    </w:p>
    <w:p w:rsidR="00000000" w:rsidRPr="0013173B" w:rsidP="0013173B">
      <w:pPr>
        <w:pStyle w:val="AllowPageBreak"/>
      </w:pPr>
    </w:p>
    <w:p w:rsidR="00000000" w:rsidRPr="0013173B" w:rsidP="0013173B">
      <w:pPr>
        <w:pStyle w:val="Heading1"/>
      </w:pPr>
      <w:bookmarkStart w:id="2" w:name="O_775037"/>
      <w:bookmarkEnd w:id="2"/>
      <w:r w:rsidRPr="0013173B">
        <w:t>Performance Evidence</w:t>
      </w:r>
    </w:p>
    <w:p w:rsidR="00000000" w:rsidRPr="0013173B" w:rsidP="008A7444">
      <w:pPr>
        <w:pStyle w:val="BodyText"/>
      </w:pPr>
      <w:r w:rsidRPr="0013173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3173B" w:rsidP="0013173B">
      <w:pPr>
        <w:pStyle w:val="ListBullet"/>
      </w:pPr>
      <w:r w:rsidRPr="0013173B">
        <w:t>align all four wheels of:</w:t>
      </w:r>
    </w:p>
    <w:p w:rsidR="00000000" w:rsidRPr="0013173B" w:rsidP="0013173B">
      <w:pPr>
        <w:pStyle w:val="ListBullet2"/>
      </w:pPr>
      <w:r w:rsidRPr="0013173B">
        <w:t>one front wheel drive vehicle</w:t>
      </w:r>
    </w:p>
    <w:p w:rsidR="00000000" w:rsidRPr="0013173B" w:rsidP="0013173B">
      <w:pPr>
        <w:pStyle w:val="ListBullet2"/>
      </w:pPr>
      <w:r w:rsidRPr="0013173B">
        <w:t>one rear wheel drive vehicle</w:t>
      </w:r>
    </w:p>
    <w:p w:rsidR="00000000" w:rsidRPr="0013173B" w:rsidP="0013173B">
      <w:pPr>
        <w:pStyle w:val="ListBullet"/>
      </w:pPr>
      <w:r w:rsidRPr="0013173B">
        <w:t>above wheel alignment must include adjusting the following steering angles:</w:t>
      </w:r>
    </w:p>
    <w:p w:rsidR="00000000" w:rsidRPr="0013173B" w:rsidP="0013173B">
      <w:pPr>
        <w:pStyle w:val="ListBullet2"/>
      </w:pPr>
      <w:r w:rsidRPr="0013173B">
        <w:t>camber</w:t>
      </w:r>
    </w:p>
    <w:p w:rsidR="00000000" w:rsidRPr="0013173B" w:rsidP="0013173B">
      <w:pPr>
        <w:pStyle w:val="ListBullet2"/>
      </w:pPr>
      <w:r w:rsidRPr="0013173B">
        <w:t>caster</w:t>
      </w:r>
    </w:p>
    <w:p w:rsidR="00000000" w:rsidRPr="0013173B" w:rsidP="0013173B">
      <w:pPr>
        <w:pStyle w:val="ListBullet2"/>
      </w:pPr>
      <w:r w:rsidRPr="0013173B">
        <w:t>steering axis inclination (SAI)</w:t>
      </w:r>
    </w:p>
    <w:p w:rsidR="00000000" w:rsidRPr="0013173B" w:rsidP="0013173B">
      <w:pPr>
        <w:pStyle w:val="ListBullet2"/>
      </w:pPr>
      <w:r w:rsidRPr="0013173B">
        <w:t>toe (toe-in and toe-out)</w:t>
      </w:r>
    </w:p>
    <w:p w:rsidR="00000000" w:rsidRPr="0013173B" w:rsidP="0013173B">
      <w:pPr>
        <w:pStyle w:val="ListBullet2"/>
      </w:pPr>
      <w:r w:rsidRPr="0013173B">
        <w:t>toe-out on turns.</w:t>
      </w:r>
    </w:p>
    <w:p w:rsidR="00000000" w:rsidRPr="0013173B" w:rsidP="0013173B">
      <w:pPr>
        <w:pStyle w:val="AllowPageBreak"/>
      </w:pPr>
    </w:p>
    <w:p w:rsidR="00000000" w:rsidRPr="0013173B" w:rsidP="0013173B">
      <w:pPr>
        <w:pStyle w:val="Heading1"/>
      </w:pPr>
      <w:bookmarkStart w:id="3" w:name="O_775038"/>
      <w:bookmarkEnd w:id="3"/>
      <w:r w:rsidRPr="0013173B">
        <w:t>Knowledge Evi</w:t>
      </w:r>
      <w:r w:rsidRPr="0013173B">
        <w:t>dence</w:t>
      </w:r>
    </w:p>
    <w:p w:rsidR="00000000" w:rsidRPr="0013173B" w:rsidP="008A7444">
      <w:pPr>
        <w:pStyle w:val="BodyText"/>
      </w:pPr>
      <w:r w:rsidRPr="0013173B">
        <w:t>Individuals must be able to demonstrate knowledge of:</w:t>
      </w:r>
    </w:p>
    <w:p w:rsidR="00000000" w:rsidRPr="0013173B" w:rsidP="0013173B">
      <w:pPr>
        <w:pStyle w:val="ListBullet"/>
      </w:pPr>
      <w:r w:rsidRPr="0013173B">
        <w:t>work health and safety (WHS) and occupational health and safety (OHS) requirements relating to light vehicle wheel alignment, including procedures for using air jacks</w:t>
      </w:r>
    </w:p>
    <w:p w:rsidR="00000000" w:rsidRPr="0013173B" w:rsidP="0013173B">
      <w:pPr>
        <w:pStyle w:val="ListBullet"/>
      </w:pPr>
      <w:r w:rsidRPr="0013173B">
        <w:t>application, purpose and ope</w:t>
      </w:r>
      <w:r w:rsidRPr="0013173B">
        <w:t>rating principles of steering geometry and wheel alignment angles, including:</w:t>
      </w:r>
    </w:p>
    <w:p w:rsidR="00000000" w:rsidRPr="0013173B" w:rsidP="0013173B">
      <w:pPr>
        <w:pStyle w:val="ListBullet2"/>
      </w:pPr>
      <w:r w:rsidRPr="0013173B">
        <w:t>Ackermann principle of steering</w:t>
      </w:r>
    </w:p>
    <w:p w:rsidR="00000000" w:rsidRPr="0013173B" w:rsidP="0013173B">
      <w:pPr>
        <w:pStyle w:val="ListBullet2"/>
      </w:pPr>
      <w:r w:rsidRPr="0013173B">
        <w:t>camber</w:t>
      </w:r>
    </w:p>
    <w:p w:rsidR="00000000" w:rsidRPr="0013173B" w:rsidP="0013173B">
      <w:pPr>
        <w:pStyle w:val="ListBullet2"/>
      </w:pPr>
      <w:r w:rsidRPr="0013173B">
        <w:t>caster</w:t>
      </w:r>
    </w:p>
    <w:p w:rsidR="00000000" w:rsidRPr="0013173B" w:rsidP="0013173B">
      <w:pPr>
        <w:pStyle w:val="ListBullet2"/>
      </w:pPr>
      <w:r w:rsidRPr="0013173B">
        <w:t>SAI</w:t>
      </w:r>
    </w:p>
    <w:p w:rsidR="00000000" w:rsidRPr="0013173B" w:rsidP="0013173B">
      <w:pPr>
        <w:pStyle w:val="ListBullet2"/>
      </w:pPr>
      <w:r w:rsidRPr="0013173B">
        <w:t>thrust angle</w:t>
      </w:r>
    </w:p>
    <w:p w:rsidR="00000000" w:rsidRPr="0013173B" w:rsidP="0013173B">
      <w:pPr>
        <w:pStyle w:val="ListBullet2"/>
      </w:pPr>
      <w:r w:rsidRPr="0013173B">
        <w:t>toe-in and toe-out</w:t>
      </w:r>
    </w:p>
    <w:p w:rsidR="00000000" w:rsidRPr="0013173B" w:rsidP="0013173B">
      <w:pPr>
        <w:pStyle w:val="ListBullet2"/>
      </w:pPr>
      <w:r w:rsidRPr="0013173B">
        <w:t>toe-out on turns</w:t>
      </w:r>
    </w:p>
    <w:p w:rsidR="00000000" w:rsidRPr="0013173B" w:rsidP="0013173B">
      <w:pPr>
        <w:pStyle w:val="ListBullet2"/>
      </w:pPr>
      <w:r w:rsidRPr="0013173B">
        <w:t>included angle</w:t>
      </w:r>
    </w:p>
    <w:p w:rsidR="00000000" w:rsidRPr="0013173B" w:rsidP="0013173B">
      <w:pPr>
        <w:pStyle w:val="ListBullet2"/>
      </w:pPr>
      <w:r w:rsidRPr="0013173B">
        <w:t>point of intersection</w:t>
      </w:r>
    </w:p>
    <w:p w:rsidR="00000000" w:rsidRPr="0013173B" w:rsidP="0013173B">
      <w:pPr>
        <w:pStyle w:val="ListBullet2"/>
      </w:pPr>
      <w:r w:rsidRPr="0013173B">
        <w:t>scrub radius</w:t>
      </w:r>
    </w:p>
    <w:p w:rsidR="00000000" w:rsidRPr="0013173B" w:rsidP="0013173B">
      <w:pPr>
        <w:pStyle w:val="ListBullet"/>
      </w:pPr>
      <w:r w:rsidRPr="0013173B">
        <w:t>vehicle pre-alignment inspection procedures, including:</w:t>
      </w:r>
    </w:p>
    <w:p w:rsidR="00000000" w:rsidRPr="0013173B" w:rsidP="0013173B">
      <w:pPr>
        <w:pStyle w:val="ListBullet2"/>
      </w:pPr>
      <w:r w:rsidRPr="0013173B">
        <w:t>analysing tyre wear</w:t>
      </w:r>
    </w:p>
    <w:p w:rsidR="00000000" w:rsidRPr="0013173B" w:rsidP="0013173B">
      <w:pPr>
        <w:pStyle w:val="ListBullet2"/>
      </w:pPr>
      <w:r w:rsidRPr="0013173B">
        <w:t>determining wheel run-out</w:t>
      </w:r>
    </w:p>
    <w:p w:rsidR="00000000" w:rsidRPr="0013173B" w:rsidP="0013173B">
      <w:pPr>
        <w:pStyle w:val="ListBullet2"/>
      </w:pPr>
      <w:r w:rsidRPr="0013173B">
        <w:t>determining vehicle height</w:t>
      </w:r>
    </w:p>
    <w:p w:rsidR="00000000" w:rsidRPr="0013173B" w:rsidP="0013173B">
      <w:pPr>
        <w:pStyle w:val="ListBullet2"/>
      </w:pPr>
      <w:r w:rsidRPr="0013173B">
        <w:t>checking frame alignment</w:t>
      </w:r>
    </w:p>
    <w:p w:rsidR="00000000" w:rsidRPr="0013173B" w:rsidP="0013173B">
      <w:pPr>
        <w:pStyle w:val="ListBullet"/>
      </w:pPr>
      <w:r w:rsidRPr="0013173B">
        <w:t>types and operation of wheel alignment systems, including:</w:t>
      </w:r>
    </w:p>
    <w:p w:rsidR="00000000" w:rsidRPr="0013173B" w:rsidP="0013173B">
      <w:pPr>
        <w:pStyle w:val="ListBullet2"/>
      </w:pPr>
      <w:r w:rsidRPr="0013173B">
        <w:t>laser aligners</w:t>
      </w:r>
    </w:p>
    <w:p w:rsidR="00000000" w:rsidRPr="0013173B" w:rsidP="0013173B">
      <w:pPr>
        <w:pStyle w:val="ListBullet2"/>
      </w:pPr>
      <w:r w:rsidRPr="0013173B">
        <w:t>visual aligners</w:t>
      </w:r>
    </w:p>
    <w:p w:rsidR="00000000" w:rsidRPr="0013173B" w:rsidP="0013173B">
      <w:pPr>
        <w:pStyle w:val="ListBullet2"/>
      </w:pPr>
      <w:r w:rsidRPr="0013173B">
        <w:t>camera aligners</w:t>
      </w:r>
    </w:p>
    <w:p w:rsidR="00000000" w:rsidRPr="0013173B" w:rsidP="0013173B">
      <w:pPr>
        <w:pStyle w:val="ListBullet"/>
      </w:pPr>
      <w:r w:rsidRPr="0013173B">
        <w:t>relationships between fault symptoms and component defects</w:t>
      </w:r>
    </w:p>
    <w:p w:rsidR="00000000" w:rsidRPr="0013173B" w:rsidP="0013173B">
      <w:pPr>
        <w:pStyle w:val="ListBullet"/>
      </w:pPr>
      <w:r w:rsidRPr="0013173B">
        <w:t>procedures for measuring and adjusting steering angles, including:</w:t>
      </w:r>
    </w:p>
    <w:p w:rsidR="00000000" w:rsidRPr="0013173B" w:rsidP="0013173B">
      <w:pPr>
        <w:pStyle w:val="ListBullet2"/>
      </w:pPr>
      <w:r w:rsidRPr="0013173B">
        <w:t>camber</w:t>
      </w:r>
    </w:p>
    <w:p w:rsidR="00000000" w:rsidRPr="0013173B" w:rsidP="0013173B">
      <w:pPr>
        <w:pStyle w:val="ListBullet2"/>
      </w:pPr>
      <w:r w:rsidRPr="0013173B">
        <w:t>caster</w:t>
      </w:r>
    </w:p>
    <w:p w:rsidR="00000000" w:rsidRPr="0013173B" w:rsidP="0013173B">
      <w:pPr>
        <w:pStyle w:val="ListBullet2"/>
      </w:pPr>
      <w:r w:rsidRPr="0013173B">
        <w:t>steering axis inclination</w:t>
      </w:r>
    </w:p>
    <w:p w:rsidR="00000000" w:rsidRPr="0013173B" w:rsidP="0013173B">
      <w:pPr>
        <w:pStyle w:val="ListBullet2"/>
      </w:pPr>
      <w:r w:rsidRPr="0013173B">
        <w:t>thrust angle</w:t>
      </w:r>
    </w:p>
    <w:p w:rsidR="00000000" w:rsidRPr="0013173B" w:rsidP="0013173B">
      <w:pPr>
        <w:pStyle w:val="ListBullet2"/>
      </w:pPr>
      <w:r w:rsidRPr="0013173B">
        <w:t>toe</w:t>
      </w:r>
    </w:p>
    <w:p w:rsidR="00000000" w:rsidRPr="0013173B" w:rsidP="0013173B">
      <w:pPr>
        <w:pStyle w:val="ListBullet2"/>
      </w:pPr>
      <w:r w:rsidRPr="0013173B">
        <w:t>toe-out on turns</w:t>
      </w:r>
    </w:p>
    <w:p w:rsidR="00000000" w:rsidRPr="0013173B" w:rsidP="0013173B">
      <w:pPr>
        <w:pStyle w:val="ListBullet"/>
      </w:pPr>
      <w:r w:rsidRPr="0013173B">
        <w:t>procedures for carrying out four-whee</w:t>
      </w:r>
      <w:r w:rsidRPr="0013173B">
        <w:t>l alignments</w:t>
      </w:r>
    </w:p>
    <w:p w:rsidR="00000000" w:rsidRPr="0013173B" w:rsidP="0013173B">
      <w:pPr>
        <w:pStyle w:val="ListBullet"/>
      </w:pPr>
      <w:r w:rsidRPr="0013173B">
        <w:t>steering system reset procedures to calibrate on-board system sensors with the steering geometry.</w:t>
      </w:r>
    </w:p>
    <w:p w:rsidR="00000000" w:rsidRPr="0013173B" w:rsidP="0013173B">
      <w:pPr>
        <w:pStyle w:val="AllowPageBreak"/>
      </w:pPr>
    </w:p>
    <w:p w:rsidR="00000000" w:rsidRPr="0013173B" w:rsidP="0013173B">
      <w:pPr>
        <w:pStyle w:val="Heading1"/>
      </w:pPr>
      <w:bookmarkStart w:id="4" w:name="O_775039"/>
      <w:bookmarkEnd w:id="4"/>
      <w:r w:rsidRPr="0013173B">
        <w:t>Assessment Conditions</w:t>
      </w:r>
    </w:p>
    <w:p w:rsidR="00000000" w:rsidRPr="0013173B" w:rsidP="008A7444">
      <w:pPr>
        <w:pStyle w:val="BodyText"/>
      </w:pPr>
      <w:r w:rsidRPr="0013173B">
        <w:t>Assessors must satisfy NVR/AQTF assessor requirements.</w:t>
      </w:r>
    </w:p>
    <w:p w:rsidR="00000000" w:rsidRPr="0013173B" w:rsidP="008A7444">
      <w:pPr>
        <w:pStyle w:val="BodyText"/>
      </w:pPr>
      <w:r w:rsidRPr="0013173B">
        <w:t>Competency is to be assessed in the workplace or a simulated environment that accurately reflects performance in a real workplace setting.</w:t>
      </w:r>
    </w:p>
    <w:p w:rsidR="00000000" w:rsidRPr="0013173B" w:rsidP="008A7444">
      <w:pPr>
        <w:pStyle w:val="BodyText"/>
      </w:pPr>
      <w:r w:rsidRPr="0013173B">
        <w:t>Assessment must include direct observation of tasks.</w:t>
      </w:r>
    </w:p>
    <w:p w:rsidR="00000000" w:rsidRPr="0013173B" w:rsidP="008A7444">
      <w:pPr>
        <w:pStyle w:val="BodyText"/>
      </w:pPr>
      <w:r w:rsidRPr="0013173B">
        <w:t xml:space="preserve">Where assessment of competency includes third-party evidence, </w:t>
      </w:r>
      <w:r w:rsidRPr="0013173B">
        <w:t>individuals must provide evidence that links them to the vehicle wheel alignments that they have carried out, e.g. repair orders.</w:t>
      </w:r>
    </w:p>
    <w:p w:rsidR="00000000" w:rsidRPr="0013173B" w:rsidP="008A7444">
      <w:pPr>
        <w:pStyle w:val="BodyText"/>
      </w:pPr>
      <w:r w:rsidRPr="0013173B">
        <w:t>Assessors must verify performance evidence through questioning on skills and knowledge to ensure correct interpretation and a</w:t>
      </w:r>
      <w:r w:rsidRPr="0013173B">
        <w:t>pplication.</w:t>
      </w:r>
    </w:p>
    <w:p w:rsidR="00000000" w:rsidRPr="0013173B" w:rsidP="008A7444">
      <w:pPr>
        <w:pStyle w:val="BodyText"/>
      </w:pPr>
      <w:r w:rsidRPr="0013173B">
        <w:t>The following resources must be made available:</w:t>
      </w:r>
    </w:p>
    <w:p w:rsidR="00000000" w:rsidRPr="0013173B" w:rsidP="0013173B">
      <w:pPr>
        <w:pStyle w:val="ListBullet"/>
      </w:pPr>
      <w:r w:rsidRPr="0013173B">
        <w:t>automotive repair workplace or simulated workplace</w:t>
      </w:r>
    </w:p>
    <w:p w:rsidR="00000000" w:rsidRPr="0013173B" w:rsidP="0013173B">
      <w:pPr>
        <w:pStyle w:val="ListBullet"/>
      </w:pPr>
      <w:r w:rsidRPr="0013173B">
        <w:t>workplace instructions</w:t>
      </w:r>
    </w:p>
    <w:p w:rsidR="00000000" w:rsidRPr="0013173B" w:rsidP="0013173B">
      <w:pPr>
        <w:pStyle w:val="ListBullet"/>
      </w:pPr>
      <w:r w:rsidRPr="0013173B">
        <w:t>manufacturer wheel alignment specifications</w:t>
      </w:r>
    </w:p>
    <w:p w:rsidR="00000000" w:rsidRPr="0013173B" w:rsidP="0013173B">
      <w:pPr>
        <w:pStyle w:val="ListBullet"/>
      </w:pPr>
      <w:r w:rsidRPr="0013173B">
        <w:t>one front wheel drive light vehicle and one rear wheel drive light vehicle r</w:t>
      </w:r>
      <w:r w:rsidRPr="0013173B">
        <w:t>equiring the adjustments specified in the performance evidence</w:t>
      </w:r>
    </w:p>
    <w:p w:rsidR="00000000" w:rsidRPr="0013173B" w:rsidP="0013173B">
      <w:pPr>
        <w:pStyle w:val="ListBullet"/>
      </w:pPr>
      <w:r w:rsidRPr="0013173B">
        <w:t>wheel alignment equipment for light vehicles</w:t>
      </w:r>
    </w:p>
    <w:p w:rsidR="00000000" w:rsidRPr="0013173B" w:rsidP="0013173B">
      <w:pPr>
        <w:pStyle w:val="ListBullet"/>
      </w:pPr>
      <w:r w:rsidRPr="0013173B">
        <w:t>tools, equipment and materials appropriate for carrying out wheel alignment operations on light vehicles.</w:t>
      </w:r>
    </w:p>
    <w:p w:rsidR="00000000" w:rsidRPr="0013173B" w:rsidP="0013173B">
      <w:pPr>
        <w:pStyle w:val="AllowPageBreak"/>
      </w:pPr>
    </w:p>
    <w:p w:rsidR="00000000" w:rsidRPr="0013173B" w:rsidP="0013173B">
      <w:pPr>
        <w:pStyle w:val="Heading1"/>
      </w:pPr>
      <w:bookmarkStart w:id="5" w:name="O_775042"/>
      <w:bookmarkEnd w:id="5"/>
      <w:r w:rsidRPr="0013173B">
        <w:t>Links</w:t>
      </w:r>
    </w:p>
    <w:p w:rsidR="00000000" w:rsidRPr="0013173B" w:rsidP="008A7444">
      <w:pPr>
        <w:pStyle w:val="BodyText"/>
      </w:pPr>
      <w:r w:rsidRPr="0013173B">
        <w:t>Companion Volume im</w:t>
      </w:r>
      <w:r w:rsidRPr="0013173B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42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173B" w:rsidP="008A7444">
      <w:pPr>
        <w:pStyle w:val="BodyText"/>
      </w:pPr>
      <w:r w:rsidRPr="001317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42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173B" w:rsidP="0013173B"/>
    <w:sectPr w:rsidSect="001317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3B" w:rsidRPr="008A7444" w:rsidP="008A7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44" w:rsidP="00131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444" w:rsidP="00131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A7444" w:rsidP="00131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73B" w:rsidRPr="008A7444" w:rsidP="008A7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44" w:rsidRPr="002D2AF8" w:rsidP="00131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AURLTD006 Carry out light vehicle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A7444" w:rsidP="00131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4D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00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060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73B"/>
  </w:style>
  <w:style w:type="character" w:customStyle="1" w:styleId="Heading1Char">
    <w:name w:val="Heading 1 Char"/>
    <w:basedOn w:val="DefaultParagraphFont"/>
    <w:link w:val="Heading1"/>
    <w:rsid w:val="00131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7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73B"/>
    <w:rPr>
      <w:b/>
      <w:spacing w:val="0"/>
    </w:rPr>
  </w:style>
  <w:style w:type="paragraph" w:styleId="ListBullet2">
    <w:name w:val="List Bullet 2"/>
    <w:basedOn w:val="List2"/>
    <w:rsid w:val="001317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73B"/>
    <w:rPr>
      <w:i/>
    </w:rPr>
  </w:style>
  <w:style w:type="paragraph" w:styleId="Caption">
    <w:name w:val="caption"/>
    <w:basedOn w:val="BodyText"/>
    <w:next w:val="Normal"/>
    <w:qFormat/>
    <w:rsid w:val="00131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73B"/>
  </w:style>
  <w:style w:type="paragraph" w:styleId="TableofFigures">
    <w:name w:val="table of figures"/>
    <w:basedOn w:val="Normal"/>
    <w:next w:val="Normal"/>
    <w:semiHidden/>
    <w:rsid w:val="00131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7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73B"/>
    <w:rPr>
      <w:rFonts w:ascii="Wingdings" w:hAnsi="Wingdings"/>
    </w:rPr>
  </w:style>
  <w:style w:type="paragraph" w:customStyle="1" w:styleId="TableHeading">
    <w:name w:val="Table Heading"/>
    <w:basedOn w:val="HeadingBase"/>
    <w:rsid w:val="00131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73B"/>
    <w:rPr>
      <w:color w:val="0033CC"/>
      <w:u w:val="none"/>
    </w:rPr>
  </w:style>
  <w:style w:type="paragraph" w:customStyle="1" w:styleId="BodyTextRight">
    <w:name w:val="Body Text Right"/>
    <w:basedOn w:val="BodyText"/>
    <w:rsid w:val="00131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7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73B"/>
    <w:rPr>
      <w:sz w:val="32"/>
    </w:rPr>
  </w:style>
  <w:style w:type="paragraph" w:customStyle="1" w:styleId="HeadingProcedure">
    <w:name w:val="Heading Procedure"/>
    <w:basedOn w:val="HeadingBase"/>
    <w:next w:val="Normal"/>
    <w:rsid w:val="00131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73B"/>
    <w:pPr>
      <w:spacing w:before="60" w:after="60"/>
    </w:pPr>
  </w:style>
  <w:style w:type="paragraph" w:styleId="ListContinue">
    <w:name w:val="List Continue"/>
    <w:basedOn w:val="List"/>
    <w:rsid w:val="0013173B"/>
    <w:pPr>
      <w:ind w:firstLine="0"/>
    </w:pPr>
  </w:style>
  <w:style w:type="paragraph" w:customStyle="1" w:styleId="ListNote">
    <w:name w:val="List Note"/>
    <w:basedOn w:val="List"/>
    <w:rsid w:val="00131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73B"/>
    <w:rPr>
      <w:rFonts w:ascii="Courier New" w:hAnsi="Courier New"/>
    </w:rPr>
  </w:style>
  <w:style w:type="paragraph" w:customStyle="1" w:styleId="NoteBullet">
    <w:name w:val="Note Bullet"/>
    <w:basedOn w:val="Note"/>
    <w:rsid w:val="00131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7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73B"/>
    <w:rPr>
      <w:b/>
      <w:smallCaps/>
    </w:rPr>
  </w:style>
  <w:style w:type="paragraph" w:customStyle="1" w:styleId="TableListNumber">
    <w:name w:val="Table List Number"/>
    <w:basedOn w:val="ListNumber"/>
    <w:rsid w:val="00131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73B"/>
    <w:pPr>
      <w:numPr>
        <w:numId w:val="9"/>
      </w:numPr>
    </w:pPr>
  </w:style>
  <w:style w:type="paragraph" w:customStyle="1" w:styleId="ListAlpha2">
    <w:name w:val="List Alpha 2"/>
    <w:basedOn w:val="List2"/>
    <w:rsid w:val="0013173B"/>
    <w:pPr>
      <w:numPr>
        <w:numId w:val="8"/>
      </w:numPr>
    </w:pPr>
  </w:style>
  <w:style w:type="paragraph" w:styleId="List2">
    <w:name w:val="List 2"/>
    <w:basedOn w:val="BodyText"/>
    <w:rsid w:val="00131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7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7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73B"/>
    <w:pPr>
      <w:numPr>
        <w:numId w:val="4"/>
      </w:numPr>
    </w:pPr>
  </w:style>
  <w:style w:type="paragraph" w:styleId="ListContinue2">
    <w:name w:val="List Continue 2"/>
    <w:basedOn w:val="List2"/>
    <w:rsid w:val="0013173B"/>
    <w:pPr>
      <w:ind w:firstLine="0"/>
    </w:pPr>
  </w:style>
  <w:style w:type="paragraph" w:styleId="ListContinue3">
    <w:name w:val="List Continue 3"/>
    <w:basedOn w:val="List3"/>
    <w:rsid w:val="0013173B"/>
    <w:pPr>
      <w:ind w:left="1021" w:firstLine="0"/>
    </w:pPr>
  </w:style>
  <w:style w:type="paragraph" w:styleId="ListContinue4">
    <w:name w:val="List Continue 4"/>
    <w:basedOn w:val="List4"/>
    <w:rsid w:val="0013173B"/>
    <w:pPr>
      <w:ind w:firstLine="0"/>
    </w:pPr>
  </w:style>
  <w:style w:type="paragraph" w:styleId="ListContinue5">
    <w:name w:val="List Continue 5"/>
    <w:basedOn w:val="List5"/>
    <w:rsid w:val="0013173B"/>
    <w:pPr>
      <w:ind w:firstLine="0"/>
    </w:pPr>
  </w:style>
  <w:style w:type="paragraph" w:styleId="ListNumber3">
    <w:name w:val="List Number 3"/>
    <w:basedOn w:val="List3"/>
    <w:rsid w:val="0013173B"/>
    <w:pPr>
      <w:numPr>
        <w:numId w:val="5"/>
      </w:numPr>
    </w:pPr>
  </w:style>
  <w:style w:type="paragraph" w:styleId="ListNumber4">
    <w:name w:val="List Number 4"/>
    <w:basedOn w:val="List4"/>
    <w:rsid w:val="0013173B"/>
    <w:pPr>
      <w:numPr>
        <w:numId w:val="6"/>
      </w:numPr>
    </w:pPr>
  </w:style>
  <w:style w:type="paragraph" w:styleId="ListNumber5">
    <w:name w:val="List Number 5"/>
    <w:basedOn w:val="List5"/>
    <w:rsid w:val="0013173B"/>
    <w:pPr>
      <w:numPr>
        <w:numId w:val="7"/>
      </w:numPr>
    </w:pPr>
  </w:style>
  <w:style w:type="paragraph" w:styleId="BlockText">
    <w:name w:val="Block Text"/>
    <w:basedOn w:val="Normal"/>
    <w:rsid w:val="00131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73B"/>
    <w:rPr>
      <w:sz w:val="16"/>
      <w:vertAlign w:val="superscript"/>
    </w:rPr>
  </w:style>
  <w:style w:type="character" w:customStyle="1" w:styleId="Symbols">
    <w:name w:val="Symbols"/>
    <w:basedOn w:val="DefaultParagraphFont"/>
    <w:rsid w:val="0013173B"/>
    <w:rPr>
      <w:rFonts w:ascii="Symbol" w:hAnsi="Symbol"/>
    </w:rPr>
  </w:style>
  <w:style w:type="character" w:customStyle="1" w:styleId="MenuOptions">
    <w:name w:val="Menu Options"/>
    <w:basedOn w:val="DefaultParagraphFont"/>
    <w:rsid w:val="00131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73B"/>
    <w:rPr>
      <w:b/>
    </w:rPr>
  </w:style>
  <w:style w:type="character" w:customStyle="1" w:styleId="Underlined">
    <w:name w:val="Underlined"/>
    <w:basedOn w:val="DefaultParagraphFont"/>
    <w:rsid w:val="0013173B"/>
    <w:rPr>
      <w:u w:val="single"/>
    </w:rPr>
  </w:style>
  <w:style w:type="paragraph" w:customStyle="1" w:styleId="TableBodyTextRight">
    <w:name w:val="Table Body Text Right"/>
    <w:basedOn w:val="TableBodyText"/>
    <w:rsid w:val="00131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73B"/>
    <w:rPr>
      <w:sz w:val="18"/>
    </w:rPr>
  </w:style>
  <w:style w:type="paragraph" w:customStyle="1" w:styleId="BodySmallRight">
    <w:name w:val="Body Small Right"/>
    <w:basedOn w:val="BodyTextRight"/>
    <w:rsid w:val="0013173B"/>
    <w:rPr>
      <w:sz w:val="18"/>
      <w:szCs w:val="18"/>
    </w:rPr>
  </w:style>
  <w:style w:type="paragraph" w:customStyle="1" w:styleId="MarginEdition">
    <w:name w:val="Margin Edition"/>
    <w:basedOn w:val="MarginNote"/>
    <w:rsid w:val="00131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73B"/>
    <w:rPr>
      <w:sz w:val="2"/>
      <w:szCs w:val="2"/>
    </w:rPr>
  </w:style>
  <w:style w:type="character" w:customStyle="1" w:styleId="Small">
    <w:name w:val="Small"/>
    <w:basedOn w:val="DefaultParagraphFont"/>
    <w:rsid w:val="0013173B"/>
    <w:rPr>
      <w:sz w:val="16"/>
    </w:rPr>
  </w:style>
  <w:style w:type="paragraph" w:customStyle="1" w:styleId="WideTable">
    <w:name w:val="Wide Table"/>
    <w:basedOn w:val="Normal"/>
    <w:rsid w:val="00131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73B"/>
  </w:style>
  <w:style w:type="paragraph" w:styleId="Quote">
    <w:name w:val="Quote"/>
    <w:basedOn w:val="Heading1"/>
    <w:link w:val="QuoteChar"/>
    <w:qFormat/>
    <w:rsid w:val="00131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73B"/>
    <w:pPr>
      <w:pageBreakBefore/>
    </w:pPr>
  </w:style>
  <w:style w:type="paragraph" w:customStyle="1" w:styleId="Border">
    <w:name w:val="Border"/>
    <w:basedOn w:val="Normal"/>
    <w:qFormat/>
    <w:rsid w:val="00131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73B"/>
    <w:rPr>
      <w:u w:val="single"/>
    </w:rPr>
  </w:style>
  <w:style w:type="character" w:customStyle="1" w:styleId="BoldandItalics">
    <w:name w:val="Bold and Italics"/>
    <w:qFormat/>
    <w:rsid w:val="0013173B"/>
    <w:rPr>
      <w:b/>
      <w:i/>
      <w:u w:val="none"/>
    </w:rPr>
  </w:style>
  <w:style w:type="paragraph" w:styleId="BalloonText">
    <w:name w:val="Balloon Text"/>
    <w:basedOn w:val="Normal"/>
    <w:link w:val="BalloonTextChar"/>
    <w:rsid w:val="00131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73B"/>
    <w:pPr>
      <w:spacing w:before="0" w:after="0"/>
    </w:pPr>
  </w:style>
  <w:style w:type="paragraph" w:customStyle="1" w:styleId="BodyTextBold">
    <w:name w:val="Body Text Bold"/>
    <w:basedOn w:val="BodyText"/>
    <w:qFormat/>
    <w:rsid w:val="0013173B"/>
    <w:rPr>
      <w:b/>
    </w:rPr>
  </w:style>
  <w:style w:type="character" w:styleId="Hyperlink">
    <w:name w:val="Hyperlink"/>
    <w:basedOn w:val="DefaultParagraphFont"/>
    <w:uiPriority w:val="99"/>
    <w:unhideWhenUsed/>
    <w:rsid w:val="008A7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3048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AURLTD006 Carry out light vehicle wheel alignment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