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1F88" w:rsidP="00F61F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AURLTD003 Reset steering system alignment adjustments to customer specifications</w:t>
      </w:r>
      <w:r>
        <w:fldChar w:fldCharType="end"/>
      </w:r>
    </w:p>
    <w:p w:rsidR="00F61F88" w:rsidP="00F61F88">
      <w:pPr>
        <w:pStyle w:val="Version"/>
        <w:sectPr w:rsidSect="002734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34A7" w:rsidP="002734A7">
      <w:pPr>
        <w:pStyle w:val="SuperHeading"/>
      </w:pPr>
      <w:r w:rsidRPr="002734A7">
        <w:t>Assessment Requirements for AURLTD003 Reset steering system alignment adjustments to customer specifications</w:t>
      </w:r>
    </w:p>
    <w:p w:rsidR="00000000" w:rsidRPr="002734A7" w:rsidP="002734A7">
      <w:pPr>
        <w:pStyle w:val="Heading1"/>
      </w:pPr>
      <w:bookmarkStart w:id="1" w:name="O_775017"/>
      <w:bookmarkEnd w:id="1"/>
      <w:r w:rsidRPr="002734A7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F61F8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4A7" w:rsidP="002734A7">
            <w:pPr>
              <w:pStyle w:val="BodyText"/>
            </w:pPr>
            <w:r w:rsidRPr="002734A7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4A7">
            <w:pPr>
              <w:pStyle w:val="BodyText"/>
              <w:rPr>
                <w:lang w:val="en-NZ"/>
              </w:rPr>
            </w:pPr>
            <w:r w:rsidRPr="002734A7">
              <w:rPr>
                <w:rStyle w:val="SpecialBold"/>
              </w:rPr>
              <w:t>Comment</w:t>
            </w:r>
          </w:p>
        </w:tc>
      </w:tr>
      <w:tr w:rsidTr="00F61F8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4A7">
            <w:pPr>
              <w:pStyle w:val="BodyText"/>
              <w:rPr>
                <w:lang w:val="en-NZ"/>
              </w:rPr>
            </w:pPr>
            <w:r w:rsidRPr="002734A7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4A7" w:rsidP="002734A7">
            <w:pPr>
              <w:pStyle w:val="BodyText"/>
            </w:pPr>
            <w:r w:rsidRPr="002734A7">
              <w:t>New unit of competency</w:t>
            </w:r>
          </w:p>
        </w:tc>
      </w:tr>
    </w:tbl>
    <w:p w:rsidR="00000000" w:rsidRPr="002734A7" w:rsidP="002734A7">
      <w:pPr>
        <w:pStyle w:val="BodyText"/>
      </w:pPr>
    </w:p>
    <w:p w:rsidR="00000000" w:rsidRPr="002734A7" w:rsidP="002734A7">
      <w:pPr>
        <w:pStyle w:val="AllowPageBreak"/>
      </w:pPr>
    </w:p>
    <w:p w:rsidR="00000000" w:rsidRPr="002734A7" w:rsidP="002734A7">
      <w:pPr>
        <w:pStyle w:val="Heading1"/>
      </w:pPr>
      <w:bookmarkStart w:id="2" w:name="O_775018"/>
      <w:bookmarkEnd w:id="2"/>
      <w:r w:rsidRPr="002734A7">
        <w:t>Performance Evidence</w:t>
      </w:r>
    </w:p>
    <w:p w:rsidR="00000000" w:rsidRPr="002734A7" w:rsidP="002734A7">
      <w:pPr>
        <w:pStyle w:val="BodyText"/>
      </w:pPr>
      <w:r w:rsidRPr="002734A7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2734A7" w:rsidP="002734A7">
      <w:pPr>
        <w:pStyle w:val="ListBullet"/>
      </w:pPr>
      <w:r w:rsidRPr="002734A7">
        <w:t>reset the steering system alignme</w:t>
      </w:r>
      <w:r w:rsidRPr="002734A7">
        <w:t>nt of two different vehicles, in which the work must involve measuring, recording and adjusting the following angles on all four wheels of each vehicle:</w:t>
      </w:r>
    </w:p>
    <w:p w:rsidR="00000000" w:rsidRPr="002734A7" w:rsidP="002734A7">
      <w:pPr>
        <w:pStyle w:val="ListBullet2"/>
      </w:pPr>
      <w:r w:rsidRPr="002734A7">
        <w:t>camber</w:t>
      </w:r>
    </w:p>
    <w:p w:rsidR="00000000" w:rsidRPr="002734A7" w:rsidP="002734A7">
      <w:pPr>
        <w:pStyle w:val="ListBullet2"/>
      </w:pPr>
      <w:r w:rsidRPr="002734A7">
        <w:t>caster</w:t>
      </w:r>
    </w:p>
    <w:p w:rsidR="00000000" w:rsidRPr="002734A7" w:rsidP="002734A7">
      <w:pPr>
        <w:pStyle w:val="ListBullet2"/>
      </w:pPr>
      <w:r w:rsidRPr="002734A7">
        <w:t>steering axis inclination (SAI)</w:t>
      </w:r>
    </w:p>
    <w:p w:rsidR="00000000" w:rsidRPr="002734A7" w:rsidP="002734A7">
      <w:pPr>
        <w:pStyle w:val="ListBullet2"/>
      </w:pPr>
      <w:r w:rsidRPr="002734A7">
        <w:t>toe (toe-in and toe-out)</w:t>
      </w:r>
    </w:p>
    <w:p w:rsidR="00000000" w:rsidRPr="002734A7" w:rsidP="002734A7">
      <w:pPr>
        <w:pStyle w:val="ListBullet2"/>
      </w:pPr>
      <w:r w:rsidRPr="002734A7">
        <w:t>toe-out on turns.</w:t>
      </w:r>
    </w:p>
    <w:p w:rsidR="00000000" w:rsidRPr="002734A7" w:rsidP="002734A7">
      <w:pPr>
        <w:pStyle w:val="AllowPageBreak"/>
      </w:pPr>
    </w:p>
    <w:p w:rsidR="00000000" w:rsidRPr="002734A7" w:rsidP="002734A7">
      <w:pPr>
        <w:pStyle w:val="Heading1"/>
      </w:pPr>
      <w:bookmarkStart w:id="3" w:name="O_775019"/>
      <w:bookmarkEnd w:id="3"/>
      <w:r w:rsidRPr="002734A7">
        <w:t>Knowledge Evidence</w:t>
      </w:r>
    </w:p>
    <w:p w:rsidR="00000000" w:rsidRPr="002734A7" w:rsidP="002734A7">
      <w:pPr>
        <w:pStyle w:val="BodyText"/>
      </w:pPr>
      <w:r w:rsidRPr="002734A7">
        <w:t>Individuals must be able to demonstrate knowledge of:</w:t>
      </w:r>
    </w:p>
    <w:p w:rsidR="00000000" w:rsidRPr="002734A7" w:rsidP="002734A7">
      <w:pPr>
        <w:pStyle w:val="ListBullet"/>
      </w:pPr>
      <w:r w:rsidRPr="002734A7">
        <w:t>work health and safety (WHS) and occupational health and safety (OHS) requirements relating to resetting steering system alignment, including procedures for using air jacks</w:t>
      </w:r>
    </w:p>
    <w:p w:rsidR="00000000" w:rsidRPr="002734A7" w:rsidP="002734A7">
      <w:pPr>
        <w:pStyle w:val="ListBullet"/>
      </w:pPr>
      <w:r w:rsidRPr="002734A7">
        <w:t>a</w:t>
      </w:r>
      <w:r w:rsidRPr="002734A7">
        <w:t>pplication, purpose and function of steering angles, including:</w:t>
      </w:r>
    </w:p>
    <w:p w:rsidR="00000000" w:rsidRPr="002734A7" w:rsidP="002734A7">
      <w:pPr>
        <w:pStyle w:val="ListBullet2"/>
      </w:pPr>
      <w:r w:rsidRPr="002734A7">
        <w:t>Ackermann principle of steering</w:t>
      </w:r>
    </w:p>
    <w:p w:rsidR="00000000" w:rsidRPr="002734A7" w:rsidP="002734A7">
      <w:pPr>
        <w:pStyle w:val="ListBullet2"/>
      </w:pPr>
      <w:r w:rsidRPr="002734A7">
        <w:t>camber</w:t>
      </w:r>
    </w:p>
    <w:p w:rsidR="00000000" w:rsidRPr="002734A7" w:rsidP="002734A7">
      <w:pPr>
        <w:pStyle w:val="ListBullet2"/>
      </w:pPr>
      <w:r w:rsidRPr="002734A7">
        <w:t>caster</w:t>
      </w:r>
    </w:p>
    <w:p w:rsidR="00000000" w:rsidRPr="002734A7" w:rsidP="002734A7">
      <w:pPr>
        <w:pStyle w:val="ListBullet2"/>
      </w:pPr>
      <w:r w:rsidRPr="002734A7">
        <w:t>SAI</w:t>
      </w:r>
    </w:p>
    <w:p w:rsidR="00000000" w:rsidRPr="002734A7" w:rsidP="002734A7">
      <w:pPr>
        <w:pStyle w:val="ListBullet2"/>
      </w:pPr>
      <w:r w:rsidRPr="002734A7">
        <w:t>thrust angle</w:t>
      </w:r>
    </w:p>
    <w:p w:rsidR="00000000" w:rsidRPr="002734A7" w:rsidP="002734A7">
      <w:pPr>
        <w:pStyle w:val="ListBullet2"/>
      </w:pPr>
      <w:r w:rsidRPr="002734A7">
        <w:t>toe-in and toe-out</w:t>
      </w:r>
    </w:p>
    <w:p w:rsidR="00000000" w:rsidRPr="002734A7" w:rsidP="002734A7">
      <w:pPr>
        <w:pStyle w:val="ListBullet2"/>
      </w:pPr>
      <w:r w:rsidRPr="002734A7">
        <w:t>toe-out on turns</w:t>
      </w:r>
    </w:p>
    <w:p w:rsidR="00000000" w:rsidRPr="002734A7" w:rsidP="002734A7">
      <w:pPr>
        <w:pStyle w:val="ListBullet2"/>
      </w:pPr>
      <w:r w:rsidRPr="002734A7">
        <w:t>included angle</w:t>
      </w:r>
    </w:p>
    <w:p w:rsidR="00000000" w:rsidRPr="002734A7" w:rsidP="002734A7">
      <w:pPr>
        <w:pStyle w:val="ListBullet2"/>
      </w:pPr>
      <w:r w:rsidRPr="002734A7">
        <w:t>point of intersection</w:t>
      </w:r>
    </w:p>
    <w:p w:rsidR="00000000" w:rsidRPr="002734A7" w:rsidP="002734A7">
      <w:pPr>
        <w:pStyle w:val="ListBullet2"/>
      </w:pPr>
      <w:r w:rsidRPr="002734A7">
        <w:t>scrub radius</w:t>
      </w:r>
    </w:p>
    <w:p w:rsidR="00000000" w:rsidRPr="002734A7" w:rsidP="002734A7">
      <w:pPr>
        <w:pStyle w:val="ListBullet"/>
      </w:pPr>
      <w:r w:rsidRPr="002734A7">
        <w:t>reasons for making non-standard alignment settings on driving and ride characteristics, including:</w:t>
      </w:r>
    </w:p>
    <w:p w:rsidR="00000000" w:rsidRPr="002734A7" w:rsidP="002734A7">
      <w:pPr>
        <w:pStyle w:val="ListBullet2"/>
      </w:pPr>
      <w:r w:rsidRPr="002734A7">
        <w:t>fitting modified road springs</w:t>
      </w:r>
    </w:p>
    <w:p w:rsidR="00000000" w:rsidRPr="002734A7" w:rsidP="002734A7">
      <w:pPr>
        <w:pStyle w:val="ListBullet2"/>
      </w:pPr>
      <w:r w:rsidRPr="002734A7">
        <w:t>fitting revised shock absorbers</w:t>
      </w:r>
    </w:p>
    <w:p w:rsidR="00000000" w:rsidRPr="002734A7" w:rsidP="002734A7">
      <w:pPr>
        <w:pStyle w:val="ListBullet2"/>
      </w:pPr>
      <w:r w:rsidRPr="002734A7">
        <w:t>fitting modified sway bars</w:t>
      </w:r>
    </w:p>
    <w:p w:rsidR="00000000" w:rsidRPr="002734A7" w:rsidP="002734A7">
      <w:pPr>
        <w:pStyle w:val="ListBullet2"/>
      </w:pPr>
      <w:r w:rsidRPr="002734A7">
        <w:t>altering ride height</w:t>
      </w:r>
    </w:p>
    <w:p w:rsidR="00000000" w:rsidRPr="002734A7" w:rsidP="002734A7">
      <w:pPr>
        <w:pStyle w:val="ListBullet2"/>
      </w:pPr>
      <w:r w:rsidRPr="002734A7">
        <w:t>fitting non-standard wheel and tyre combinatio</w:t>
      </w:r>
      <w:r w:rsidRPr="002734A7">
        <w:t>ns</w:t>
      </w:r>
    </w:p>
    <w:p w:rsidR="00000000" w:rsidRPr="002734A7" w:rsidP="002734A7">
      <w:pPr>
        <w:pStyle w:val="ListBullet2"/>
      </w:pPr>
      <w:r w:rsidRPr="002734A7">
        <w:t>variations to understeer and oversteer</w:t>
      </w:r>
    </w:p>
    <w:p w:rsidR="00000000" w:rsidRPr="002734A7" w:rsidP="002734A7">
      <w:pPr>
        <w:pStyle w:val="ListBullet2"/>
      </w:pPr>
      <w:r w:rsidRPr="002734A7">
        <w:t>off-road use</w:t>
      </w:r>
    </w:p>
    <w:p w:rsidR="00000000" w:rsidRPr="002734A7" w:rsidP="002734A7">
      <w:pPr>
        <w:pStyle w:val="ListBullet"/>
      </w:pPr>
      <w:r w:rsidRPr="002734A7">
        <w:t>vehicle wheel alignment pre-check procedures, including:</w:t>
      </w:r>
    </w:p>
    <w:p w:rsidR="00000000" w:rsidRPr="002734A7" w:rsidP="002734A7">
      <w:pPr>
        <w:pStyle w:val="ListBullet2"/>
      </w:pPr>
      <w:r w:rsidRPr="002734A7">
        <w:t>assessing steering system alignment adjustments against safety and Australian Design Rule (ADR) compliance</w:t>
      </w:r>
    </w:p>
    <w:p w:rsidR="00000000" w:rsidRPr="002734A7" w:rsidP="002734A7">
      <w:pPr>
        <w:pStyle w:val="ListBullet2"/>
      </w:pPr>
      <w:r w:rsidRPr="002734A7">
        <w:t>road testing</w:t>
      </w:r>
    </w:p>
    <w:p w:rsidR="00000000" w:rsidRPr="002734A7" w:rsidP="002734A7">
      <w:pPr>
        <w:pStyle w:val="ListBullet2"/>
      </w:pPr>
      <w:r w:rsidRPr="002734A7">
        <w:t>analysing tyre wear</w:t>
      </w:r>
    </w:p>
    <w:p w:rsidR="00000000" w:rsidRPr="002734A7" w:rsidP="002734A7">
      <w:pPr>
        <w:pStyle w:val="ListBullet2"/>
      </w:pPr>
      <w:r w:rsidRPr="002734A7">
        <w:t>determining wheel run-out</w:t>
      </w:r>
    </w:p>
    <w:p w:rsidR="00000000" w:rsidRPr="002734A7" w:rsidP="002734A7">
      <w:pPr>
        <w:pStyle w:val="ListBullet2"/>
      </w:pPr>
      <w:r w:rsidRPr="002734A7">
        <w:t>determining vehicle height</w:t>
      </w:r>
    </w:p>
    <w:p w:rsidR="00000000" w:rsidRPr="002734A7" w:rsidP="002734A7">
      <w:pPr>
        <w:pStyle w:val="ListBullet2"/>
      </w:pPr>
      <w:r w:rsidRPr="002734A7">
        <w:t>checking frame alignment</w:t>
      </w:r>
    </w:p>
    <w:p w:rsidR="00000000" w:rsidRPr="002734A7" w:rsidP="002734A7">
      <w:pPr>
        <w:pStyle w:val="ListBullet"/>
      </w:pPr>
      <w:r w:rsidRPr="002734A7">
        <w:t>types and operation of wheel alignment systems, including:</w:t>
      </w:r>
    </w:p>
    <w:p w:rsidR="00000000" w:rsidRPr="002734A7" w:rsidP="002734A7">
      <w:pPr>
        <w:pStyle w:val="ListBullet2"/>
      </w:pPr>
      <w:r w:rsidRPr="002734A7">
        <w:t>laser aligners</w:t>
      </w:r>
    </w:p>
    <w:p w:rsidR="00000000" w:rsidRPr="002734A7" w:rsidP="002734A7">
      <w:pPr>
        <w:pStyle w:val="ListBullet2"/>
      </w:pPr>
      <w:r w:rsidRPr="002734A7">
        <w:t>visual aligners</w:t>
      </w:r>
    </w:p>
    <w:p w:rsidR="00000000" w:rsidRPr="002734A7" w:rsidP="002734A7">
      <w:pPr>
        <w:pStyle w:val="ListBullet2"/>
      </w:pPr>
      <w:r w:rsidRPr="002734A7">
        <w:t>camera aligners</w:t>
      </w:r>
    </w:p>
    <w:p w:rsidR="00000000" w:rsidRPr="002734A7" w:rsidP="002734A7">
      <w:pPr>
        <w:pStyle w:val="ListBullet"/>
      </w:pPr>
      <w:r w:rsidRPr="002734A7">
        <w:t>wheel alignment checking procedures, including:</w:t>
      </w:r>
    </w:p>
    <w:p w:rsidR="00000000" w:rsidRPr="002734A7" w:rsidP="002734A7">
      <w:pPr>
        <w:pStyle w:val="ListBullet2"/>
      </w:pPr>
      <w:r w:rsidRPr="002734A7">
        <w:t>checking caster</w:t>
      </w:r>
    </w:p>
    <w:p w:rsidR="00000000" w:rsidRPr="002734A7" w:rsidP="002734A7">
      <w:pPr>
        <w:pStyle w:val="ListBullet2"/>
      </w:pPr>
      <w:r w:rsidRPr="002734A7">
        <w:t>chec</w:t>
      </w:r>
      <w:r w:rsidRPr="002734A7">
        <w:t>king camber</w:t>
      </w:r>
    </w:p>
    <w:p w:rsidR="00000000" w:rsidRPr="002734A7" w:rsidP="002734A7">
      <w:pPr>
        <w:pStyle w:val="ListBullet2"/>
      </w:pPr>
      <w:r w:rsidRPr="002734A7">
        <w:t>checking toe-in</w:t>
      </w:r>
    </w:p>
    <w:p w:rsidR="00000000" w:rsidRPr="002734A7" w:rsidP="002734A7">
      <w:pPr>
        <w:pStyle w:val="ListBullet2"/>
      </w:pPr>
      <w:r w:rsidRPr="002734A7">
        <w:t>checking toe-out on turns</w:t>
      </w:r>
    </w:p>
    <w:p w:rsidR="00000000" w:rsidRPr="002734A7" w:rsidP="002734A7">
      <w:pPr>
        <w:pStyle w:val="ListBullet"/>
      </w:pPr>
      <w:r w:rsidRPr="002734A7">
        <w:t>wheel alignment adjustment procedures, including:</w:t>
      </w:r>
    </w:p>
    <w:p w:rsidR="00000000" w:rsidRPr="002734A7" w:rsidP="002734A7">
      <w:pPr>
        <w:pStyle w:val="ListBullet2"/>
      </w:pPr>
      <w:r w:rsidRPr="002734A7">
        <w:t>adjusting caster</w:t>
      </w:r>
    </w:p>
    <w:p w:rsidR="00000000" w:rsidRPr="002734A7" w:rsidP="002734A7">
      <w:pPr>
        <w:pStyle w:val="ListBullet2"/>
      </w:pPr>
      <w:r w:rsidRPr="002734A7">
        <w:t>adjusting camber</w:t>
      </w:r>
    </w:p>
    <w:p w:rsidR="00000000" w:rsidRPr="002734A7" w:rsidP="002734A7">
      <w:pPr>
        <w:pStyle w:val="ListBullet2"/>
      </w:pPr>
      <w:r w:rsidRPr="002734A7">
        <w:t>adjusting toe-in</w:t>
      </w:r>
    </w:p>
    <w:p w:rsidR="00000000" w:rsidRPr="002734A7" w:rsidP="002734A7">
      <w:pPr>
        <w:pStyle w:val="ListBullet2"/>
      </w:pPr>
      <w:r w:rsidRPr="002734A7">
        <w:t>adjusting toe-out on turns.</w:t>
      </w:r>
    </w:p>
    <w:p w:rsidR="00000000" w:rsidRPr="002734A7" w:rsidP="002734A7">
      <w:pPr>
        <w:pStyle w:val="AllowPageBreak"/>
      </w:pPr>
    </w:p>
    <w:p w:rsidR="00000000" w:rsidRPr="002734A7" w:rsidP="002734A7">
      <w:pPr>
        <w:pStyle w:val="Heading1"/>
      </w:pPr>
      <w:bookmarkStart w:id="4" w:name="O_775020"/>
      <w:bookmarkEnd w:id="4"/>
      <w:r w:rsidRPr="002734A7">
        <w:t>Assessment Conditions</w:t>
      </w:r>
    </w:p>
    <w:p w:rsidR="00000000" w:rsidRPr="002734A7" w:rsidP="002734A7">
      <w:pPr>
        <w:pStyle w:val="BodyText"/>
      </w:pPr>
      <w:r w:rsidRPr="002734A7">
        <w:t>Assessors must satisfy NVR/AQTF assessor requirements.</w:t>
      </w:r>
    </w:p>
    <w:p w:rsidR="00000000" w:rsidRPr="002734A7" w:rsidP="002734A7">
      <w:pPr>
        <w:pStyle w:val="BodyText"/>
      </w:pPr>
    </w:p>
    <w:p w:rsidR="00000000" w:rsidRPr="002734A7" w:rsidP="002734A7">
      <w:pPr>
        <w:pStyle w:val="BodyText"/>
      </w:pPr>
      <w:r w:rsidRPr="002734A7">
        <w:t>Competency is to be assessed in the workplace or a simulated environment that accurately reflects performance in a real workplace setting.</w:t>
      </w:r>
    </w:p>
    <w:p w:rsidR="00000000" w:rsidRPr="002734A7" w:rsidP="002734A7">
      <w:pPr>
        <w:pStyle w:val="BodyText"/>
      </w:pPr>
    </w:p>
    <w:p w:rsidR="00000000" w:rsidRPr="002734A7" w:rsidP="002734A7">
      <w:pPr>
        <w:pStyle w:val="BodyText"/>
      </w:pPr>
      <w:r w:rsidRPr="002734A7">
        <w:t>Assessment must include direct observation of tasks.</w:t>
      </w:r>
    </w:p>
    <w:p w:rsidR="00000000" w:rsidRPr="002734A7" w:rsidP="002734A7">
      <w:pPr>
        <w:pStyle w:val="BodyText"/>
      </w:pPr>
    </w:p>
    <w:p w:rsidR="00000000" w:rsidRPr="002734A7" w:rsidP="002734A7">
      <w:pPr>
        <w:pStyle w:val="BodyText"/>
      </w:pPr>
      <w:r w:rsidRPr="002734A7">
        <w:t xml:space="preserve">Where </w:t>
      </w:r>
      <w:r w:rsidRPr="002734A7">
        <w:t>assessment of competency includes third-party evidence, individuals must provide evidence that links them to the steering systems that they have worked on, e.g. repair orders.</w:t>
      </w:r>
    </w:p>
    <w:p w:rsidR="00000000" w:rsidRPr="002734A7" w:rsidP="002734A7">
      <w:pPr>
        <w:pStyle w:val="BodyText"/>
      </w:pPr>
    </w:p>
    <w:p w:rsidR="00000000" w:rsidRPr="002734A7" w:rsidP="002734A7">
      <w:pPr>
        <w:pStyle w:val="BodyText"/>
      </w:pPr>
      <w:r w:rsidRPr="002734A7">
        <w:t>Assessors must verify performance evidence through questioning on skills and knowledge to ensure correct interpretation and application.</w:t>
      </w:r>
    </w:p>
    <w:p w:rsidR="00000000" w:rsidRPr="002734A7" w:rsidP="002734A7">
      <w:pPr>
        <w:pStyle w:val="BodyText"/>
      </w:pPr>
    </w:p>
    <w:p w:rsidR="00000000" w:rsidRPr="002734A7" w:rsidP="002734A7">
      <w:pPr>
        <w:pStyle w:val="BodyText"/>
      </w:pPr>
      <w:r w:rsidRPr="002734A7">
        <w:t>The following resources must be made available:</w:t>
      </w:r>
    </w:p>
    <w:p w:rsidR="00000000" w:rsidRPr="002734A7" w:rsidP="002734A7">
      <w:pPr>
        <w:pStyle w:val="ListBullet"/>
      </w:pPr>
      <w:r w:rsidRPr="002734A7">
        <w:t>automotive repair workplace or simulated workplace</w:t>
      </w:r>
    </w:p>
    <w:p w:rsidR="00000000" w:rsidRPr="002734A7" w:rsidP="002734A7">
      <w:pPr>
        <w:pStyle w:val="ListBullet"/>
      </w:pPr>
      <w:r w:rsidRPr="002734A7">
        <w:t>workplace instruct</w:t>
      </w:r>
      <w:r w:rsidRPr="002734A7">
        <w:t>ions</w:t>
      </w:r>
    </w:p>
    <w:p w:rsidR="00000000" w:rsidRPr="002734A7" w:rsidP="002734A7">
      <w:pPr>
        <w:pStyle w:val="ListBullet"/>
      </w:pPr>
      <w:r w:rsidRPr="002734A7">
        <w:t>manufacturer steering system alignment specifications</w:t>
      </w:r>
    </w:p>
    <w:p w:rsidR="00000000" w:rsidRPr="002734A7" w:rsidP="002734A7">
      <w:pPr>
        <w:pStyle w:val="ListBullet"/>
      </w:pPr>
      <w:r w:rsidRPr="002734A7">
        <w:t>Australian Design Rules</w:t>
      </w:r>
    </w:p>
    <w:p w:rsidR="00000000" w:rsidRPr="002734A7" w:rsidP="002734A7">
      <w:pPr>
        <w:pStyle w:val="ListBullet"/>
      </w:pPr>
      <w:r w:rsidRPr="002734A7">
        <w:t>two different vehicles requiring steering system adjustments to the angles specified in the performance evidence</w:t>
      </w:r>
    </w:p>
    <w:p w:rsidR="00000000" w:rsidRPr="002734A7" w:rsidP="002734A7">
      <w:pPr>
        <w:pStyle w:val="ListBullet"/>
      </w:pPr>
      <w:r w:rsidRPr="002734A7">
        <w:t xml:space="preserve">wheel alignment equipment </w:t>
      </w:r>
    </w:p>
    <w:p w:rsidR="00000000" w:rsidRPr="002734A7" w:rsidP="002734A7">
      <w:pPr>
        <w:pStyle w:val="ListBullet"/>
      </w:pPr>
      <w:r w:rsidRPr="002734A7">
        <w:t>tools, equipment and materials ap</w:t>
      </w:r>
      <w:r w:rsidRPr="002734A7">
        <w:t>propriate for adjusting steering system alignment.</w:t>
      </w:r>
    </w:p>
    <w:p w:rsidR="00000000" w:rsidRPr="002734A7" w:rsidP="002734A7">
      <w:pPr>
        <w:pStyle w:val="AllowPageBreak"/>
      </w:pPr>
    </w:p>
    <w:p w:rsidR="00000000" w:rsidRPr="002734A7" w:rsidP="002734A7">
      <w:pPr>
        <w:pStyle w:val="Heading1"/>
      </w:pPr>
      <w:bookmarkStart w:id="5" w:name="O_775023"/>
      <w:bookmarkEnd w:id="5"/>
      <w:r w:rsidRPr="002734A7">
        <w:t>Links</w:t>
      </w:r>
    </w:p>
    <w:p w:rsidR="00000000" w:rsidRPr="002734A7" w:rsidP="002734A7">
      <w:pPr>
        <w:pStyle w:val="BodyText"/>
      </w:pPr>
      <w:r w:rsidRPr="002734A7">
        <w:t>Companion Volume implementation guides are found in VETNet - https://vetnet.education.gov.au/Pages/TrainingDocs.aspx?q=b4278d82-d487-4070-a8c4-78045ec695b1</w:t>
      </w:r>
    </w:p>
    <w:p w:rsidR="00000000" w:rsidRPr="002734A7" w:rsidP="002734A7">
      <w:pPr>
        <w:pStyle w:val="BodyText"/>
      </w:pPr>
      <w:r w:rsidRPr="002734A7">
        <w:t>Companion Volume implement</w:t>
      </w:r>
      <w:r w:rsidRPr="002734A7">
        <w:t>ation guides are found in VETNet - https://vetnet.education.gov.au/Pages/TrainingDocs.aspx?q=b4278d82-d487-4070-a8c4-78045ec695b1</w:t>
      </w:r>
    </w:p>
    <w:p w:rsidR="00000000" w:rsidRPr="002734A7" w:rsidP="002734A7"/>
    <w:sectPr w:rsidSect="002734A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4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4A7" w:rsidRPr="00F61F88" w:rsidP="00F61F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4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F88" w:rsidP="002734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1F88" w:rsidP="002734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61F88" w:rsidP="002734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4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F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34A7" w:rsidRPr="00F61F88" w:rsidP="00F61F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4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F88" w:rsidRPr="002D2AF8" w:rsidP="002734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AURLTD003 Reset steering system alignment adjustments to customer specifications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March 2018</w:t>
    </w:r>
    <w:r>
      <w:fldChar w:fldCharType="end"/>
    </w:r>
  </w:p>
  <w:p w:rsidR="00F61F88" w:rsidP="002734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AA05B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942C2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ED200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34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34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34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34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34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34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34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34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34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34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34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34A7"/>
  </w:style>
  <w:style w:type="character" w:customStyle="1" w:styleId="Heading1Char">
    <w:name w:val="Heading 1 Char"/>
    <w:basedOn w:val="DefaultParagraphFont"/>
    <w:link w:val="Heading1"/>
    <w:rsid w:val="002734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34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34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34A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34A7"/>
    <w:rPr>
      <w:b/>
      <w:spacing w:val="0"/>
    </w:rPr>
  </w:style>
  <w:style w:type="paragraph" w:styleId="ListBullet2">
    <w:name w:val="List Bullet 2"/>
    <w:basedOn w:val="List2"/>
    <w:rsid w:val="002734A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734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34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34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34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34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34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34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34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34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34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34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34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34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34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34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34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34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34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34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34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34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34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34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34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34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734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34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34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34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34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34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34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34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34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34A7"/>
    <w:rPr>
      <w:i/>
    </w:rPr>
  </w:style>
  <w:style w:type="paragraph" w:styleId="Caption">
    <w:name w:val="caption"/>
    <w:basedOn w:val="BodyText"/>
    <w:next w:val="Normal"/>
    <w:qFormat/>
    <w:rsid w:val="002734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34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34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34A7"/>
  </w:style>
  <w:style w:type="paragraph" w:styleId="TableofFigures">
    <w:name w:val="table of figures"/>
    <w:basedOn w:val="Normal"/>
    <w:next w:val="Normal"/>
    <w:semiHidden/>
    <w:rsid w:val="002734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34A7"/>
    <w:pPr>
      <w:numPr>
        <w:numId w:val="11"/>
      </w:numPr>
    </w:pPr>
  </w:style>
  <w:style w:type="character" w:customStyle="1" w:styleId="WingdingSymbols">
    <w:name w:val="Wingding Symbols"/>
    <w:rsid w:val="002734A7"/>
    <w:rPr>
      <w:rFonts w:ascii="Wingdings" w:hAnsi="Wingdings"/>
    </w:rPr>
  </w:style>
  <w:style w:type="paragraph" w:customStyle="1" w:styleId="TableHeading">
    <w:name w:val="Table Heading"/>
    <w:basedOn w:val="HeadingBase"/>
    <w:rsid w:val="002734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34A7"/>
    <w:rPr>
      <w:color w:val="0033CC"/>
      <w:u w:val="none"/>
    </w:rPr>
  </w:style>
  <w:style w:type="paragraph" w:customStyle="1" w:styleId="BodyTextRight">
    <w:name w:val="Body Text Right"/>
    <w:basedOn w:val="BodyText"/>
    <w:rsid w:val="002734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34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34A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34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34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34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34A7"/>
    <w:rPr>
      <w:sz w:val="32"/>
    </w:rPr>
  </w:style>
  <w:style w:type="paragraph" w:customStyle="1" w:styleId="HeadingProcedure">
    <w:name w:val="Heading Procedure"/>
    <w:basedOn w:val="HeadingBase"/>
    <w:next w:val="Normal"/>
    <w:rsid w:val="002734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34A7"/>
    <w:pPr>
      <w:spacing w:before="60" w:after="60"/>
    </w:pPr>
  </w:style>
  <w:style w:type="paragraph" w:styleId="ListContinue">
    <w:name w:val="List Continue"/>
    <w:basedOn w:val="List"/>
    <w:rsid w:val="002734A7"/>
    <w:pPr>
      <w:ind w:firstLine="0"/>
    </w:pPr>
  </w:style>
  <w:style w:type="paragraph" w:customStyle="1" w:styleId="ListNote">
    <w:name w:val="List Note"/>
    <w:basedOn w:val="List"/>
    <w:rsid w:val="002734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34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34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34A7"/>
    <w:rPr>
      <w:rFonts w:ascii="Courier New" w:hAnsi="Courier New"/>
    </w:rPr>
  </w:style>
  <w:style w:type="paragraph" w:customStyle="1" w:styleId="NoteBullet">
    <w:name w:val="Note Bullet"/>
    <w:basedOn w:val="Note"/>
    <w:rsid w:val="002734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34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34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34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34A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734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34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34A7"/>
    <w:rPr>
      <w:b/>
      <w:smallCaps/>
    </w:rPr>
  </w:style>
  <w:style w:type="paragraph" w:customStyle="1" w:styleId="TableListNumber">
    <w:name w:val="Table List Number"/>
    <w:basedOn w:val="ListNumber"/>
    <w:rsid w:val="002734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34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34A7"/>
    <w:pPr>
      <w:numPr>
        <w:numId w:val="9"/>
      </w:numPr>
    </w:pPr>
  </w:style>
  <w:style w:type="paragraph" w:customStyle="1" w:styleId="ListAlpha2">
    <w:name w:val="List Alpha 2"/>
    <w:basedOn w:val="List2"/>
    <w:rsid w:val="002734A7"/>
    <w:pPr>
      <w:numPr>
        <w:numId w:val="8"/>
      </w:numPr>
    </w:pPr>
  </w:style>
  <w:style w:type="paragraph" w:styleId="List2">
    <w:name w:val="List 2"/>
    <w:basedOn w:val="BodyText"/>
    <w:rsid w:val="002734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34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34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34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34A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34A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734A7"/>
    <w:pPr>
      <w:numPr>
        <w:numId w:val="4"/>
      </w:numPr>
    </w:pPr>
  </w:style>
  <w:style w:type="paragraph" w:styleId="ListContinue2">
    <w:name w:val="List Continue 2"/>
    <w:basedOn w:val="List2"/>
    <w:rsid w:val="002734A7"/>
    <w:pPr>
      <w:ind w:firstLine="0"/>
    </w:pPr>
  </w:style>
  <w:style w:type="paragraph" w:styleId="ListContinue3">
    <w:name w:val="List Continue 3"/>
    <w:basedOn w:val="List3"/>
    <w:rsid w:val="002734A7"/>
    <w:pPr>
      <w:ind w:left="1021" w:firstLine="0"/>
    </w:pPr>
  </w:style>
  <w:style w:type="paragraph" w:styleId="ListContinue4">
    <w:name w:val="List Continue 4"/>
    <w:basedOn w:val="List4"/>
    <w:rsid w:val="002734A7"/>
    <w:pPr>
      <w:ind w:firstLine="0"/>
    </w:pPr>
  </w:style>
  <w:style w:type="paragraph" w:styleId="ListContinue5">
    <w:name w:val="List Continue 5"/>
    <w:basedOn w:val="List5"/>
    <w:rsid w:val="002734A7"/>
    <w:pPr>
      <w:ind w:firstLine="0"/>
    </w:pPr>
  </w:style>
  <w:style w:type="paragraph" w:styleId="ListNumber3">
    <w:name w:val="List Number 3"/>
    <w:basedOn w:val="List3"/>
    <w:rsid w:val="002734A7"/>
    <w:pPr>
      <w:numPr>
        <w:numId w:val="5"/>
      </w:numPr>
    </w:pPr>
  </w:style>
  <w:style w:type="paragraph" w:styleId="ListNumber4">
    <w:name w:val="List Number 4"/>
    <w:basedOn w:val="List4"/>
    <w:rsid w:val="002734A7"/>
    <w:pPr>
      <w:numPr>
        <w:numId w:val="6"/>
      </w:numPr>
    </w:pPr>
  </w:style>
  <w:style w:type="paragraph" w:styleId="ListNumber5">
    <w:name w:val="List Number 5"/>
    <w:basedOn w:val="List5"/>
    <w:rsid w:val="002734A7"/>
    <w:pPr>
      <w:numPr>
        <w:numId w:val="7"/>
      </w:numPr>
    </w:pPr>
  </w:style>
  <w:style w:type="paragraph" w:styleId="BlockText">
    <w:name w:val="Block Text"/>
    <w:basedOn w:val="Normal"/>
    <w:rsid w:val="002734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34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34A7"/>
    <w:rPr>
      <w:sz w:val="16"/>
      <w:vertAlign w:val="superscript"/>
    </w:rPr>
  </w:style>
  <w:style w:type="character" w:customStyle="1" w:styleId="Symbols">
    <w:name w:val="Symbols"/>
    <w:basedOn w:val="DefaultParagraphFont"/>
    <w:rsid w:val="002734A7"/>
    <w:rPr>
      <w:rFonts w:ascii="Symbol" w:hAnsi="Symbol"/>
    </w:rPr>
  </w:style>
  <w:style w:type="character" w:customStyle="1" w:styleId="MenuOptions">
    <w:name w:val="Menu Options"/>
    <w:basedOn w:val="DefaultParagraphFont"/>
    <w:rsid w:val="002734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34A7"/>
    <w:rPr>
      <w:b/>
    </w:rPr>
  </w:style>
  <w:style w:type="character" w:customStyle="1" w:styleId="Underlined">
    <w:name w:val="Underlined"/>
    <w:basedOn w:val="DefaultParagraphFont"/>
    <w:rsid w:val="002734A7"/>
    <w:rPr>
      <w:u w:val="single"/>
    </w:rPr>
  </w:style>
  <w:style w:type="paragraph" w:customStyle="1" w:styleId="TableBodyTextRight">
    <w:name w:val="Table Body Text Right"/>
    <w:basedOn w:val="TableBodyText"/>
    <w:rsid w:val="002734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34A7"/>
    <w:rPr>
      <w:sz w:val="18"/>
    </w:rPr>
  </w:style>
  <w:style w:type="paragraph" w:customStyle="1" w:styleId="BodySmallRight">
    <w:name w:val="Body Small Right"/>
    <w:basedOn w:val="BodyTextRight"/>
    <w:rsid w:val="002734A7"/>
    <w:rPr>
      <w:sz w:val="18"/>
      <w:szCs w:val="18"/>
    </w:rPr>
  </w:style>
  <w:style w:type="paragraph" w:customStyle="1" w:styleId="MarginEdition">
    <w:name w:val="Margin Edition"/>
    <w:basedOn w:val="MarginNote"/>
    <w:rsid w:val="002734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34A7"/>
    <w:rPr>
      <w:sz w:val="2"/>
      <w:szCs w:val="2"/>
    </w:rPr>
  </w:style>
  <w:style w:type="character" w:customStyle="1" w:styleId="Small">
    <w:name w:val="Small"/>
    <w:basedOn w:val="DefaultParagraphFont"/>
    <w:rsid w:val="002734A7"/>
    <w:rPr>
      <w:sz w:val="16"/>
    </w:rPr>
  </w:style>
  <w:style w:type="paragraph" w:customStyle="1" w:styleId="WideTable">
    <w:name w:val="Wide Table"/>
    <w:basedOn w:val="Normal"/>
    <w:rsid w:val="002734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34A7"/>
  </w:style>
  <w:style w:type="paragraph" w:styleId="Quote">
    <w:name w:val="Quote"/>
    <w:basedOn w:val="Heading1"/>
    <w:link w:val="QuoteChar"/>
    <w:qFormat/>
    <w:rsid w:val="002734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34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34A7"/>
    <w:pPr>
      <w:pageBreakBefore/>
    </w:pPr>
  </w:style>
  <w:style w:type="paragraph" w:customStyle="1" w:styleId="Border">
    <w:name w:val="Border"/>
    <w:basedOn w:val="Normal"/>
    <w:qFormat/>
    <w:rsid w:val="002734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34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34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34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34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34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34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34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34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34A7"/>
    <w:rPr>
      <w:u w:val="single"/>
    </w:rPr>
  </w:style>
  <w:style w:type="character" w:customStyle="1" w:styleId="BoldandItalics">
    <w:name w:val="Bold and Italics"/>
    <w:qFormat/>
    <w:rsid w:val="002734A7"/>
    <w:rPr>
      <w:b/>
      <w:i/>
      <w:u w:val="none"/>
    </w:rPr>
  </w:style>
  <w:style w:type="paragraph" w:styleId="BalloonText">
    <w:name w:val="Balloon Text"/>
    <w:basedOn w:val="Normal"/>
    <w:link w:val="BalloonTextChar"/>
    <w:rsid w:val="002734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34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34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34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34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34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34A7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442</Words>
  <Characters>3160</Characters>
  <Application>Microsoft Office Word</Application>
  <DocSecurity>0</DocSecurity>
  <Lines>105</Lines>
  <Paragraphs>76</Paragraphs>
  <ScaleCrop>false</ScaleCrop>
  <Company>Author-it Software Corporation Ltd.</Company>
  <LinksUpToDate>false</LinksUpToDate>
  <CharactersWithSpaces>3580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AURLTD003 Reset steering system alignment adjustments to customer specifications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2018-03-28T22:51:00Z</dcterms:created>
  <dcterms:modified xsi:type="dcterms:W3CDTF">2018-03-28T22:51:00Z</dcterms:modified>
</cp:coreProperties>
</file>