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276" w:rsidP="004E3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AURKTQ001 Diagnose and repair mobile plant final drive assemblies</w:t>
      </w:r>
      <w:r>
        <w:fldChar w:fldCharType="end"/>
      </w:r>
    </w:p>
    <w:p w:rsidR="004E3276" w:rsidP="004E3276">
      <w:pPr>
        <w:pStyle w:val="Version"/>
        <w:sectPr w:rsidSect="00C22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1EA" w:rsidP="00C221EA">
      <w:pPr>
        <w:pStyle w:val="SuperHeading"/>
      </w:pPr>
      <w:r w:rsidRPr="00C221EA">
        <w:t>Assessment Requirements for AURKTQ001 Diagnose and repair mobile plant final drive assemblies</w:t>
      </w:r>
    </w:p>
    <w:p w:rsidR="00000000" w:rsidRPr="00C221EA" w:rsidP="00C221EA">
      <w:pPr>
        <w:pStyle w:val="Heading1"/>
      </w:pPr>
      <w:bookmarkStart w:id="1" w:name="O_771957"/>
      <w:bookmarkEnd w:id="1"/>
      <w:r w:rsidRPr="00C221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32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1EA" w:rsidP="00C221EA">
            <w:pPr>
              <w:pStyle w:val="BodyText"/>
            </w:pPr>
            <w:r w:rsidRPr="00C221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1EA">
            <w:pPr>
              <w:pStyle w:val="BodyText"/>
              <w:rPr>
                <w:lang w:val="en-NZ"/>
              </w:rPr>
            </w:pPr>
            <w:r w:rsidRPr="00C221EA">
              <w:rPr>
                <w:rStyle w:val="SpecialBold"/>
              </w:rPr>
              <w:t>Comment</w:t>
            </w:r>
          </w:p>
        </w:tc>
      </w:tr>
      <w:tr w:rsidTr="004E32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1EA">
            <w:pPr>
              <w:pStyle w:val="BodyText"/>
              <w:rPr>
                <w:lang w:val="en-NZ"/>
              </w:rPr>
            </w:pPr>
            <w:r w:rsidRPr="00C221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1EA" w:rsidP="00C221EA">
            <w:pPr>
              <w:pStyle w:val="BodyText"/>
            </w:pPr>
            <w:r w:rsidRPr="00C221EA">
              <w:t>New unit of competency.</w:t>
            </w:r>
          </w:p>
        </w:tc>
      </w:tr>
    </w:tbl>
    <w:p w:rsidR="00000000" w:rsidRPr="00C221EA" w:rsidP="00C221EA">
      <w:pPr>
        <w:pStyle w:val="BodyText"/>
      </w:pPr>
    </w:p>
    <w:p w:rsidR="00000000" w:rsidRPr="00C221EA" w:rsidP="00C221EA">
      <w:pPr>
        <w:pStyle w:val="AllowPageBreak"/>
      </w:pPr>
    </w:p>
    <w:p w:rsidR="00000000" w:rsidRPr="00C221EA" w:rsidP="00C221EA">
      <w:pPr>
        <w:pStyle w:val="Heading1"/>
      </w:pPr>
      <w:bookmarkStart w:id="2" w:name="O_771958"/>
      <w:bookmarkEnd w:id="2"/>
      <w:r w:rsidRPr="00C221EA">
        <w:t>Performance Evidence</w:t>
      </w:r>
    </w:p>
    <w:p w:rsidR="00000000" w:rsidRPr="00C221EA" w:rsidP="004E3276">
      <w:pPr>
        <w:pStyle w:val="BodyText"/>
      </w:pPr>
      <w:r w:rsidRPr="00C221EA">
        <w:t>Before comp</w:t>
      </w:r>
      <w:r w:rsidRPr="00C221EA">
        <w:t>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221EA" w:rsidP="00C221EA">
      <w:pPr>
        <w:pStyle w:val="ListBullet"/>
      </w:pPr>
      <w:r w:rsidRPr="00C221EA">
        <w:t>diagnose and repair faults in two mobile pla</w:t>
      </w:r>
      <w:r w:rsidRPr="00C221EA">
        <w:t>nt final drive assemblies as follows:</w:t>
      </w:r>
    </w:p>
    <w:p w:rsidR="00000000" w:rsidRPr="00C221EA" w:rsidP="00C221EA">
      <w:pPr>
        <w:pStyle w:val="ListBullet2"/>
      </w:pPr>
      <w:r w:rsidRPr="00C221EA">
        <w:t>one differential carrier assembly</w:t>
      </w:r>
    </w:p>
    <w:p w:rsidR="00000000" w:rsidRPr="00C221EA" w:rsidP="00C221EA">
      <w:pPr>
        <w:pStyle w:val="ListBullet2"/>
      </w:pPr>
      <w:r w:rsidRPr="00C221EA">
        <w:t>one of the following final drive assemblies:</w:t>
      </w:r>
    </w:p>
    <w:p w:rsidR="00000000" w:rsidRPr="00C221EA" w:rsidP="00C221EA">
      <w:pPr>
        <w:pStyle w:val="ListBullet3"/>
      </w:pPr>
      <w:r w:rsidRPr="00C221EA">
        <w:t xml:space="preserve">double reduction </w:t>
      </w:r>
    </w:p>
    <w:p w:rsidR="00000000" w:rsidRPr="00C221EA" w:rsidP="00C221EA">
      <w:pPr>
        <w:pStyle w:val="ListBullet3"/>
      </w:pPr>
      <w:r w:rsidRPr="00C221EA">
        <w:t xml:space="preserve">planetary final drive </w:t>
      </w:r>
    </w:p>
    <w:p w:rsidR="00000000" w:rsidRPr="00C221EA" w:rsidP="00C221EA">
      <w:pPr>
        <w:pStyle w:val="ListBullet3"/>
      </w:pPr>
      <w:r w:rsidRPr="00C221EA">
        <w:t>chain drive.</w:t>
      </w:r>
    </w:p>
    <w:p w:rsidR="00000000" w:rsidRPr="00C221EA" w:rsidP="00C221EA">
      <w:pPr>
        <w:pStyle w:val="AllowPageBreak"/>
      </w:pPr>
    </w:p>
    <w:p w:rsidR="00000000" w:rsidRPr="00C221EA" w:rsidP="00C221EA">
      <w:pPr>
        <w:pStyle w:val="Heading1"/>
      </w:pPr>
      <w:bookmarkStart w:id="3" w:name="O_771959"/>
      <w:bookmarkEnd w:id="3"/>
      <w:r w:rsidRPr="00C221EA">
        <w:t>Knowledge Evidence</w:t>
      </w:r>
    </w:p>
    <w:p w:rsidR="00000000" w:rsidRPr="00C221EA" w:rsidP="004E3276">
      <w:pPr>
        <w:pStyle w:val="BodyText"/>
      </w:pPr>
      <w:r w:rsidRPr="00C221EA">
        <w:t>Individuals must be able to demonstrate knowledge of:</w:t>
      </w:r>
    </w:p>
    <w:p w:rsidR="00000000" w:rsidRPr="00C221EA" w:rsidP="00C221EA">
      <w:pPr>
        <w:pStyle w:val="ListBullet"/>
      </w:pPr>
      <w:r w:rsidRPr="00C221EA">
        <w:t>work health and safety (WHS) and occupational health and safety (OHS) requirements relating to diagnosing and repairing mobile plant final drive assemblies, including procedures for isolating and stabi</w:t>
      </w:r>
      <w:r w:rsidRPr="00C221EA">
        <w:t>lising machines</w:t>
      </w:r>
    </w:p>
    <w:p w:rsidR="00000000" w:rsidRPr="00C221EA" w:rsidP="00C221EA">
      <w:pPr>
        <w:pStyle w:val="ListBullet"/>
      </w:pPr>
      <w:r w:rsidRPr="00C221EA">
        <w:t>environmental requirements, including procedures for trapping, storing and disposing of oils and fluids released from final drive assemblies</w:t>
      </w:r>
    </w:p>
    <w:p w:rsidR="00000000" w:rsidRPr="00C221EA" w:rsidP="00C221EA">
      <w:pPr>
        <w:pStyle w:val="ListBullet"/>
      </w:pPr>
      <w:r w:rsidRPr="00C221EA">
        <w:t>operating principles of mobile plant final drive assemblies and their:</w:t>
      </w:r>
    </w:p>
    <w:p w:rsidR="00000000" w:rsidRPr="00C221EA" w:rsidP="00C221EA">
      <w:pPr>
        <w:pStyle w:val="ListBullet2"/>
      </w:pPr>
      <w:r w:rsidRPr="00C221EA">
        <w:t>final drive gears, includin</w:t>
      </w:r>
      <w:r w:rsidRPr="00C221EA">
        <w:t>g:</w:t>
      </w:r>
    </w:p>
    <w:p w:rsidR="00000000" w:rsidRPr="00C221EA" w:rsidP="00C221EA">
      <w:pPr>
        <w:pStyle w:val="ListBullet3"/>
      </w:pPr>
      <w:r w:rsidRPr="00C221EA">
        <w:t>gear types and specific lubrication requirements</w:t>
      </w:r>
    </w:p>
    <w:p w:rsidR="00000000" w:rsidRPr="00C221EA" w:rsidP="00C221EA">
      <w:pPr>
        <w:pStyle w:val="ListBullet3"/>
      </w:pPr>
      <w:r w:rsidRPr="00C221EA">
        <w:t>gear ratios and torque reduction and multiplication</w:t>
      </w:r>
    </w:p>
    <w:p w:rsidR="00000000" w:rsidRPr="00C221EA" w:rsidP="00C221EA">
      <w:pPr>
        <w:pStyle w:val="ListBullet2"/>
      </w:pPr>
      <w:r w:rsidRPr="00C221EA">
        <w:t>differential function</w:t>
      </w:r>
    </w:p>
    <w:p w:rsidR="00000000" w:rsidRPr="00C221EA" w:rsidP="00C221EA">
      <w:pPr>
        <w:pStyle w:val="ListBullet2"/>
      </w:pPr>
      <w:r w:rsidRPr="00C221EA">
        <w:t>chain drives</w:t>
      </w:r>
    </w:p>
    <w:p w:rsidR="00000000" w:rsidRPr="00C221EA" w:rsidP="00C221EA">
      <w:pPr>
        <w:pStyle w:val="ListBullet"/>
      </w:pPr>
      <w:r w:rsidRPr="00C221EA">
        <w:t>application, purpose and operation of mobile plant final drive assemblies and components, including:</w:t>
      </w:r>
    </w:p>
    <w:p w:rsidR="00000000" w:rsidRPr="00C221EA" w:rsidP="00C221EA">
      <w:pPr>
        <w:pStyle w:val="ListBullet2"/>
      </w:pPr>
      <w:r w:rsidRPr="00C221EA">
        <w:t>differential carrier</w:t>
      </w:r>
    </w:p>
    <w:p w:rsidR="00000000" w:rsidRPr="00C221EA" w:rsidP="00C221EA">
      <w:pPr>
        <w:pStyle w:val="ListBullet2"/>
      </w:pPr>
      <w:r w:rsidRPr="00C221EA">
        <w:t>limited slip, no-spin and differential lock</w:t>
      </w:r>
    </w:p>
    <w:p w:rsidR="00000000" w:rsidRPr="00C221EA" w:rsidP="00C221EA">
      <w:pPr>
        <w:pStyle w:val="ListBullet2"/>
      </w:pPr>
      <w:r w:rsidRPr="00C221EA">
        <w:t>double reduction</w:t>
      </w:r>
    </w:p>
    <w:p w:rsidR="00000000" w:rsidRPr="00C221EA" w:rsidP="00C221EA">
      <w:pPr>
        <w:pStyle w:val="ListBullet2"/>
      </w:pPr>
      <w:r w:rsidRPr="00C221EA">
        <w:t>planetary final drive</w:t>
      </w:r>
    </w:p>
    <w:p w:rsidR="00000000" w:rsidRPr="00C221EA" w:rsidP="00C221EA">
      <w:pPr>
        <w:pStyle w:val="ListBullet2"/>
      </w:pPr>
      <w:r w:rsidRPr="00C221EA">
        <w:t>chain drive</w:t>
      </w:r>
    </w:p>
    <w:p w:rsidR="00000000" w:rsidRPr="00C221EA" w:rsidP="00C221EA">
      <w:pPr>
        <w:pStyle w:val="ListBullet"/>
      </w:pPr>
      <w:r w:rsidRPr="00C221EA">
        <w:t>diagnostic testing procedures for mobile plant final drive assemblies, including:</w:t>
      </w:r>
    </w:p>
    <w:p w:rsidR="00000000" w:rsidRPr="00C221EA" w:rsidP="00C221EA">
      <w:pPr>
        <w:pStyle w:val="ListBullet2"/>
      </w:pPr>
      <w:r w:rsidRPr="00C221EA">
        <w:t>sources of fluid leaks</w:t>
      </w:r>
    </w:p>
    <w:p w:rsidR="00000000" w:rsidRPr="00C221EA" w:rsidP="00C221EA">
      <w:pPr>
        <w:pStyle w:val="ListBullet2"/>
      </w:pPr>
      <w:r w:rsidRPr="00C221EA">
        <w:t>abnormal final drive vibration, noises and operation</w:t>
      </w:r>
    </w:p>
    <w:p w:rsidR="00000000" w:rsidRPr="00C221EA" w:rsidP="00C221EA">
      <w:pPr>
        <w:pStyle w:val="ListBullet2"/>
      </w:pPr>
      <w:r w:rsidRPr="00C221EA">
        <w:t>pre-dismantling inspection procedures</w:t>
      </w:r>
    </w:p>
    <w:p w:rsidR="00000000" w:rsidRPr="00C221EA" w:rsidP="00C221EA">
      <w:pPr>
        <w:pStyle w:val="ListBullet"/>
      </w:pPr>
      <w:r w:rsidRPr="00C221EA">
        <w:t>repair procedures for mobile plant final drive assemblies, including procedures for:</w:t>
      </w:r>
    </w:p>
    <w:p w:rsidR="00000000" w:rsidRPr="00C221EA" w:rsidP="00C221EA">
      <w:pPr>
        <w:pStyle w:val="ListBullet2"/>
      </w:pPr>
      <w:r w:rsidRPr="00C221EA">
        <w:t>dismantling final drive assemblies</w:t>
      </w:r>
    </w:p>
    <w:p w:rsidR="00000000" w:rsidRPr="00C221EA" w:rsidP="00C221EA">
      <w:pPr>
        <w:pStyle w:val="ListBullet2"/>
      </w:pPr>
      <w:r w:rsidRPr="00C221EA">
        <w:t>inspecting final drive assemblies</w:t>
      </w:r>
    </w:p>
    <w:p w:rsidR="00000000" w:rsidRPr="00C221EA" w:rsidP="00C221EA">
      <w:pPr>
        <w:pStyle w:val="ListBullet2"/>
      </w:pPr>
      <w:r w:rsidRPr="00C221EA">
        <w:t>reassembl</w:t>
      </w:r>
      <w:r w:rsidRPr="00C221EA">
        <w:t>ing and adjusting:</w:t>
      </w:r>
    </w:p>
    <w:p w:rsidR="00000000" w:rsidRPr="00C221EA" w:rsidP="00C221EA">
      <w:pPr>
        <w:pStyle w:val="ListBullet3"/>
      </w:pPr>
      <w:r w:rsidRPr="00C221EA">
        <w:t>pinion depth, pinion bearing preload, crown wheel and pinion backlash, side bearing preload, and crown wheel and pinion tooth contact</w:t>
      </w:r>
    </w:p>
    <w:p w:rsidR="00000000" w:rsidRPr="00C221EA" w:rsidP="00C221EA">
      <w:pPr>
        <w:pStyle w:val="ListBullet3"/>
      </w:pPr>
      <w:r w:rsidRPr="00C221EA">
        <w:t xml:space="preserve">chain drive system </w:t>
      </w:r>
    </w:p>
    <w:p w:rsidR="00000000" w:rsidRPr="00C221EA" w:rsidP="00C221EA">
      <w:pPr>
        <w:pStyle w:val="ListBullet"/>
      </w:pPr>
      <w:r w:rsidRPr="00C221EA">
        <w:t>post-repair testing procedures for mobile plant final drive assemblies.</w:t>
      </w:r>
    </w:p>
    <w:p w:rsidR="00000000" w:rsidRPr="00C221EA" w:rsidP="00C221EA">
      <w:pPr>
        <w:pStyle w:val="AllowPageBreak"/>
      </w:pPr>
    </w:p>
    <w:p w:rsidR="00000000" w:rsidRPr="00C221EA" w:rsidP="00C221EA">
      <w:pPr>
        <w:pStyle w:val="Heading1"/>
      </w:pPr>
      <w:bookmarkStart w:id="4" w:name="O_771960"/>
      <w:bookmarkEnd w:id="4"/>
      <w:r w:rsidRPr="00C221EA">
        <w:t>Assessment Conditions</w:t>
      </w:r>
    </w:p>
    <w:p w:rsidR="00000000" w:rsidRPr="00C221EA" w:rsidP="004E3276">
      <w:pPr>
        <w:pStyle w:val="BodyText"/>
      </w:pPr>
      <w:r w:rsidRPr="00C221EA">
        <w:t>Assessors must satisfy NVR/AQTF assessor requirements.</w:t>
      </w:r>
    </w:p>
    <w:p w:rsidR="00000000" w:rsidRPr="00C221EA" w:rsidP="004E3276">
      <w:pPr>
        <w:pStyle w:val="BodyText"/>
      </w:pPr>
      <w:r w:rsidRPr="00C221EA">
        <w:t>Competency is to be assessed in the workplace or a simulated environment that accurately reflects performance in a real workplace setting.</w:t>
      </w:r>
    </w:p>
    <w:p w:rsidR="00000000" w:rsidRPr="00C221EA" w:rsidP="004E3276">
      <w:pPr>
        <w:pStyle w:val="BodyText"/>
      </w:pPr>
      <w:r w:rsidRPr="00C221EA">
        <w:t>Assessment must include direct</w:t>
      </w:r>
      <w:r w:rsidRPr="00C221EA">
        <w:t xml:space="preserve"> observation of tasks.</w:t>
      </w:r>
    </w:p>
    <w:p w:rsidR="00000000" w:rsidRPr="00C221EA" w:rsidP="004E3276">
      <w:pPr>
        <w:pStyle w:val="BodyText"/>
      </w:pPr>
      <w:r w:rsidRPr="00C221EA">
        <w:t>Where assessment of competency includes third-party evidence, individuals must provide evidence that links them to the mobile plant final drive assemblies that they have worked on, e.g. repair orders.</w:t>
      </w:r>
    </w:p>
    <w:p w:rsidR="00000000" w:rsidRPr="00C221EA" w:rsidP="004E3276">
      <w:pPr>
        <w:pStyle w:val="BodyText"/>
      </w:pPr>
      <w:r w:rsidRPr="00C221EA">
        <w:t>Assessors must verify performa</w:t>
      </w:r>
      <w:r w:rsidRPr="00C221EA">
        <w:t>nce evidence through questioning on skills and knowledge to ensure correct interpretation and application.</w:t>
      </w:r>
    </w:p>
    <w:p w:rsidR="00000000" w:rsidRPr="00C221EA" w:rsidP="004E3276">
      <w:pPr>
        <w:pStyle w:val="BodyText"/>
      </w:pPr>
      <w:r w:rsidRPr="00C221EA">
        <w:t>The following resources must be made available:</w:t>
      </w:r>
    </w:p>
    <w:p w:rsidR="00000000" w:rsidRPr="00C221EA" w:rsidP="00C221EA">
      <w:pPr>
        <w:pStyle w:val="ListBullet"/>
      </w:pPr>
      <w:r w:rsidRPr="00C221EA">
        <w:t>automotive repair workplace or simulated workplace</w:t>
      </w:r>
    </w:p>
    <w:p w:rsidR="00000000" w:rsidRPr="00C221EA" w:rsidP="00C221EA">
      <w:pPr>
        <w:pStyle w:val="ListBullet"/>
      </w:pPr>
      <w:r w:rsidRPr="00C221EA">
        <w:t>workplace instructions</w:t>
      </w:r>
    </w:p>
    <w:p w:rsidR="00000000" w:rsidRPr="00C221EA" w:rsidP="00C221EA">
      <w:pPr>
        <w:pStyle w:val="ListBullet"/>
      </w:pPr>
      <w:r w:rsidRPr="00C221EA">
        <w:t>manufacturer mobile plant final drive assembly specifications</w:t>
      </w:r>
    </w:p>
    <w:p w:rsidR="00000000" w:rsidRPr="00C221EA" w:rsidP="00C221EA">
      <w:pPr>
        <w:pStyle w:val="ListBullet"/>
      </w:pPr>
      <w:r w:rsidRPr="00C221EA">
        <w:t>two different mobile plant with the final drive assemblies specified in the performance evidence</w:t>
      </w:r>
    </w:p>
    <w:p w:rsidR="00000000" w:rsidRPr="00C221EA" w:rsidP="00C221EA">
      <w:pPr>
        <w:pStyle w:val="ListBullet"/>
      </w:pPr>
      <w:r w:rsidRPr="00C221EA">
        <w:t xml:space="preserve">diagnostic equipment for mobile plant final drive assemblies </w:t>
      </w:r>
    </w:p>
    <w:p w:rsidR="00000000" w:rsidRPr="00C221EA" w:rsidP="00C221EA">
      <w:pPr>
        <w:pStyle w:val="ListBullet"/>
      </w:pPr>
      <w:r w:rsidRPr="00C221EA">
        <w:t>tools, equipment and materials appr</w:t>
      </w:r>
      <w:r w:rsidRPr="00C221EA">
        <w:t>opriate for repairing and adjusting mobile plant final drive assemblies.</w:t>
      </w:r>
    </w:p>
    <w:p w:rsidR="00000000" w:rsidRPr="00C221EA" w:rsidP="00C221EA">
      <w:pPr>
        <w:pStyle w:val="AllowPageBreak"/>
      </w:pPr>
    </w:p>
    <w:p w:rsidR="00000000" w:rsidRPr="00C221EA" w:rsidP="00C221EA">
      <w:pPr>
        <w:pStyle w:val="Heading1"/>
      </w:pPr>
      <w:bookmarkStart w:id="5" w:name="O_771963"/>
      <w:bookmarkEnd w:id="5"/>
      <w:r w:rsidRPr="00C221EA">
        <w:t>Links</w:t>
      </w:r>
    </w:p>
    <w:p w:rsidR="00000000" w:rsidRPr="00C221EA" w:rsidP="004E3276">
      <w:pPr>
        <w:pStyle w:val="BodyText"/>
      </w:pPr>
      <w:r w:rsidRPr="00C221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F04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21EA" w:rsidP="004E3276">
      <w:pPr>
        <w:pStyle w:val="BodyText"/>
      </w:pPr>
      <w:r w:rsidRPr="00C221EA">
        <w:t>Companion Volu</w:t>
      </w:r>
      <w:r w:rsidRPr="00C221E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F04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21EA" w:rsidP="00C221EA"/>
    <w:sectPr w:rsidSect="00C22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A" w:rsidRPr="004E3276" w:rsidP="004E3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276" w:rsidP="00C22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276" w:rsidP="00C22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E3276" w:rsidP="00C22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1EA" w:rsidRPr="004E3276" w:rsidP="004E3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276" w:rsidRPr="002D2AF8" w:rsidP="00C22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AURKTQ001 Diagnose and repair mobile plant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E3276" w:rsidP="00C22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5C2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0A7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E2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1EA"/>
  </w:style>
  <w:style w:type="character" w:customStyle="1" w:styleId="Heading1Char">
    <w:name w:val="Heading 1 Char"/>
    <w:basedOn w:val="DefaultParagraphFont"/>
    <w:link w:val="Heading1"/>
    <w:rsid w:val="00C22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1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1EA"/>
    <w:rPr>
      <w:b/>
      <w:spacing w:val="0"/>
    </w:rPr>
  </w:style>
  <w:style w:type="paragraph" w:styleId="ListBullet2">
    <w:name w:val="List Bullet 2"/>
    <w:basedOn w:val="List2"/>
    <w:rsid w:val="00C221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21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2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1EA"/>
    <w:rPr>
      <w:i/>
    </w:rPr>
  </w:style>
  <w:style w:type="paragraph" w:styleId="Caption">
    <w:name w:val="caption"/>
    <w:basedOn w:val="BodyText"/>
    <w:next w:val="Normal"/>
    <w:qFormat/>
    <w:rsid w:val="00C22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1EA"/>
  </w:style>
  <w:style w:type="paragraph" w:styleId="TableofFigures">
    <w:name w:val="table of figures"/>
    <w:basedOn w:val="Normal"/>
    <w:next w:val="Normal"/>
    <w:semiHidden/>
    <w:rsid w:val="00C22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1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21EA"/>
    <w:rPr>
      <w:rFonts w:ascii="Wingdings" w:hAnsi="Wingdings"/>
    </w:rPr>
  </w:style>
  <w:style w:type="paragraph" w:customStyle="1" w:styleId="TableHeading">
    <w:name w:val="Table Heading"/>
    <w:basedOn w:val="HeadingBase"/>
    <w:rsid w:val="00C22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1EA"/>
    <w:rPr>
      <w:color w:val="0033CC"/>
      <w:u w:val="none"/>
    </w:rPr>
  </w:style>
  <w:style w:type="paragraph" w:customStyle="1" w:styleId="BodyTextRight">
    <w:name w:val="Body Text Right"/>
    <w:basedOn w:val="BodyText"/>
    <w:rsid w:val="00C22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1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1EA"/>
    <w:rPr>
      <w:sz w:val="32"/>
    </w:rPr>
  </w:style>
  <w:style w:type="paragraph" w:customStyle="1" w:styleId="HeadingProcedure">
    <w:name w:val="Heading Procedure"/>
    <w:basedOn w:val="HeadingBase"/>
    <w:next w:val="Normal"/>
    <w:rsid w:val="00C22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1EA"/>
    <w:pPr>
      <w:spacing w:before="60" w:after="60"/>
    </w:pPr>
  </w:style>
  <w:style w:type="paragraph" w:styleId="ListContinue">
    <w:name w:val="List Continue"/>
    <w:basedOn w:val="List"/>
    <w:rsid w:val="00C221EA"/>
    <w:pPr>
      <w:ind w:firstLine="0"/>
    </w:pPr>
  </w:style>
  <w:style w:type="paragraph" w:customStyle="1" w:styleId="ListNote">
    <w:name w:val="List Note"/>
    <w:basedOn w:val="List"/>
    <w:rsid w:val="00C22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1EA"/>
    <w:rPr>
      <w:rFonts w:ascii="Courier New" w:hAnsi="Courier New"/>
    </w:rPr>
  </w:style>
  <w:style w:type="paragraph" w:customStyle="1" w:styleId="NoteBullet">
    <w:name w:val="Note Bullet"/>
    <w:basedOn w:val="Note"/>
    <w:rsid w:val="00C22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1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2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1EA"/>
    <w:rPr>
      <w:b/>
      <w:smallCaps/>
    </w:rPr>
  </w:style>
  <w:style w:type="paragraph" w:customStyle="1" w:styleId="TableListNumber">
    <w:name w:val="Table List Number"/>
    <w:basedOn w:val="ListNumber"/>
    <w:rsid w:val="00C22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1EA"/>
    <w:pPr>
      <w:numPr>
        <w:numId w:val="10"/>
      </w:numPr>
    </w:pPr>
  </w:style>
  <w:style w:type="paragraph" w:customStyle="1" w:styleId="ListAlpha2">
    <w:name w:val="List Alpha 2"/>
    <w:basedOn w:val="List2"/>
    <w:rsid w:val="00C221EA"/>
    <w:pPr>
      <w:numPr>
        <w:numId w:val="9"/>
      </w:numPr>
    </w:pPr>
  </w:style>
  <w:style w:type="paragraph" w:styleId="List2">
    <w:name w:val="List 2"/>
    <w:basedOn w:val="BodyText"/>
    <w:rsid w:val="00C22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1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21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21EA"/>
    <w:pPr>
      <w:numPr>
        <w:numId w:val="5"/>
      </w:numPr>
    </w:pPr>
  </w:style>
  <w:style w:type="paragraph" w:styleId="ListContinue2">
    <w:name w:val="List Continue 2"/>
    <w:basedOn w:val="List2"/>
    <w:rsid w:val="00C221EA"/>
    <w:pPr>
      <w:ind w:firstLine="0"/>
    </w:pPr>
  </w:style>
  <w:style w:type="paragraph" w:styleId="ListContinue3">
    <w:name w:val="List Continue 3"/>
    <w:basedOn w:val="List3"/>
    <w:rsid w:val="00C221EA"/>
    <w:pPr>
      <w:ind w:left="1021" w:firstLine="0"/>
    </w:pPr>
  </w:style>
  <w:style w:type="paragraph" w:styleId="ListContinue4">
    <w:name w:val="List Continue 4"/>
    <w:basedOn w:val="List4"/>
    <w:rsid w:val="00C221EA"/>
    <w:pPr>
      <w:ind w:firstLine="0"/>
    </w:pPr>
  </w:style>
  <w:style w:type="paragraph" w:styleId="ListContinue5">
    <w:name w:val="List Continue 5"/>
    <w:basedOn w:val="List5"/>
    <w:rsid w:val="00C221EA"/>
    <w:pPr>
      <w:ind w:firstLine="0"/>
    </w:pPr>
  </w:style>
  <w:style w:type="paragraph" w:styleId="ListNumber3">
    <w:name w:val="List Number 3"/>
    <w:basedOn w:val="List3"/>
    <w:rsid w:val="00C221EA"/>
    <w:pPr>
      <w:numPr>
        <w:numId w:val="6"/>
      </w:numPr>
    </w:pPr>
  </w:style>
  <w:style w:type="paragraph" w:styleId="ListNumber4">
    <w:name w:val="List Number 4"/>
    <w:basedOn w:val="List4"/>
    <w:rsid w:val="00C221EA"/>
    <w:pPr>
      <w:numPr>
        <w:numId w:val="7"/>
      </w:numPr>
    </w:pPr>
  </w:style>
  <w:style w:type="paragraph" w:styleId="ListNumber5">
    <w:name w:val="List Number 5"/>
    <w:basedOn w:val="List5"/>
    <w:rsid w:val="00C221EA"/>
    <w:pPr>
      <w:numPr>
        <w:numId w:val="8"/>
      </w:numPr>
    </w:pPr>
  </w:style>
  <w:style w:type="paragraph" w:styleId="BlockText">
    <w:name w:val="Block Text"/>
    <w:basedOn w:val="Normal"/>
    <w:rsid w:val="00C22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1EA"/>
    <w:rPr>
      <w:sz w:val="16"/>
      <w:vertAlign w:val="superscript"/>
    </w:rPr>
  </w:style>
  <w:style w:type="character" w:customStyle="1" w:styleId="Symbols">
    <w:name w:val="Symbols"/>
    <w:basedOn w:val="DefaultParagraphFont"/>
    <w:rsid w:val="00C221EA"/>
    <w:rPr>
      <w:rFonts w:ascii="Symbol" w:hAnsi="Symbol"/>
    </w:rPr>
  </w:style>
  <w:style w:type="character" w:customStyle="1" w:styleId="MenuOptions">
    <w:name w:val="Menu Options"/>
    <w:basedOn w:val="DefaultParagraphFont"/>
    <w:rsid w:val="00C22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1EA"/>
    <w:rPr>
      <w:b/>
    </w:rPr>
  </w:style>
  <w:style w:type="character" w:customStyle="1" w:styleId="Underlined">
    <w:name w:val="Underlined"/>
    <w:basedOn w:val="DefaultParagraphFont"/>
    <w:rsid w:val="00C221EA"/>
    <w:rPr>
      <w:u w:val="single"/>
    </w:rPr>
  </w:style>
  <w:style w:type="paragraph" w:customStyle="1" w:styleId="TableBodyTextRight">
    <w:name w:val="Table Body Text Right"/>
    <w:basedOn w:val="TableBodyText"/>
    <w:rsid w:val="00C22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1EA"/>
    <w:rPr>
      <w:sz w:val="18"/>
    </w:rPr>
  </w:style>
  <w:style w:type="paragraph" w:customStyle="1" w:styleId="BodySmallRight">
    <w:name w:val="Body Small Right"/>
    <w:basedOn w:val="BodyTextRight"/>
    <w:rsid w:val="00C221EA"/>
    <w:rPr>
      <w:sz w:val="18"/>
      <w:szCs w:val="18"/>
    </w:rPr>
  </w:style>
  <w:style w:type="paragraph" w:customStyle="1" w:styleId="MarginEdition">
    <w:name w:val="Margin Edition"/>
    <w:basedOn w:val="MarginNote"/>
    <w:rsid w:val="00C22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1EA"/>
    <w:rPr>
      <w:sz w:val="2"/>
      <w:szCs w:val="2"/>
    </w:rPr>
  </w:style>
  <w:style w:type="character" w:customStyle="1" w:styleId="Small">
    <w:name w:val="Small"/>
    <w:basedOn w:val="DefaultParagraphFont"/>
    <w:rsid w:val="00C221EA"/>
    <w:rPr>
      <w:sz w:val="16"/>
    </w:rPr>
  </w:style>
  <w:style w:type="paragraph" w:customStyle="1" w:styleId="WideTable">
    <w:name w:val="Wide Table"/>
    <w:basedOn w:val="Normal"/>
    <w:rsid w:val="00C22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1EA"/>
  </w:style>
  <w:style w:type="paragraph" w:styleId="Quote">
    <w:name w:val="Quote"/>
    <w:basedOn w:val="Heading1"/>
    <w:link w:val="QuoteChar"/>
    <w:qFormat/>
    <w:rsid w:val="00C22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1EA"/>
    <w:pPr>
      <w:pageBreakBefore/>
    </w:pPr>
  </w:style>
  <w:style w:type="paragraph" w:customStyle="1" w:styleId="Border">
    <w:name w:val="Border"/>
    <w:basedOn w:val="Normal"/>
    <w:qFormat/>
    <w:rsid w:val="00C22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1EA"/>
    <w:rPr>
      <w:u w:val="single"/>
    </w:rPr>
  </w:style>
  <w:style w:type="character" w:customStyle="1" w:styleId="BoldandItalics">
    <w:name w:val="Bold and Italics"/>
    <w:qFormat/>
    <w:rsid w:val="00C221EA"/>
    <w:rPr>
      <w:b/>
      <w:i/>
      <w:u w:val="none"/>
    </w:rPr>
  </w:style>
  <w:style w:type="paragraph" w:styleId="BalloonText">
    <w:name w:val="Balloon Text"/>
    <w:basedOn w:val="Normal"/>
    <w:link w:val="BalloonTextChar"/>
    <w:rsid w:val="00C22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1EA"/>
    <w:pPr>
      <w:spacing w:before="0" w:after="0"/>
    </w:pPr>
  </w:style>
  <w:style w:type="paragraph" w:customStyle="1" w:styleId="BodyTextBold">
    <w:name w:val="Body Text Bold"/>
    <w:basedOn w:val="BodyText"/>
    <w:qFormat/>
    <w:rsid w:val="00C221EA"/>
    <w:rPr>
      <w:b/>
    </w:rPr>
  </w:style>
  <w:style w:type="character" w:styleId="Hyperlink">
    <w:name w:val="Hyperlink"/>
    <w:basedOn w:val="DefaultParagraphFont"/>
    <w:uiPriority w:val="99"/>
    <w:unhideWhenUsed/>
    <w:rsid w:val="004E3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3367</Characters>
  <Application>Microsoft Office Word</Application>
  <DocSecurity>0</DocSecurity>
  <Lines>96</Lines>
  <Paragraphs>71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AURKTQ001 Diagnose and repair mobile plant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