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39D" w:rsidP="001363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AURKTJ004 Conduct non-destructive testing of wheel and rim assemblies</w:t>
      </w:r>
      <w:r>
        <w:fldChar w:fldCharType="end"/>
      </w:r>
    </w:p>
    <w:p w:rsidR="0013639D" w:rsidP="0013639D">
      <w:pPr>
        <w:pStyle w:val="Version"/>
        <w:sectPr w:rsidSect="007A1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151" w:rsidP="007A1151">
      <w:pPr>
        <w:pStyle w:val="SuperHeading"/>
      </w:pPr>
      <w:r w:rsidRPr="007A1151">
        <w:t>Assessment Re</w:t>
      </w:r>
      <w:r w:rsidRPr="007A1151">
        <w:t>quirements for AURKTJ004 Conduct non-destructive testing of wheel and rim assemblies</w:t>
      </w:r>
    </w:p>
    <w:p w:rsidR="00000000" w:rsidRPr="007A1151" w:rsidP="007A1151">
      <w:pPr>
        <w:pStyle w:val="Heading1"/>
      </w:pPr>
      <w:bookmarkStart w:id="1" w:name="O_613532"/>
      <w:bookmarkEnd w:id="1"/>
      <w:r w:rsidRPr="007A115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363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151" w:rsidP="007A1151">
            <w:pPr>
              <w:pStyle w:val="BodyText"/>
            </w:pPr>
            <w:r w:rsidRPr="007A115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151">
            <w:pPr>
              <w:pStyle w:val="BodyText"/>
              <w:rPr>
                <w:lang w:val="en-NZ"/>
              </w:rPr>
            </w:pPr>
            <w:r w:rsidRPr="007A1151">
              <w:rPr>
                <w:rStyle w:val="SpecialBold"/>
              </w:rPr>
              <w:t>Comment</w:t>
            </w:r>
          </w:p>
        </w:tc>
      </w:tr>
      <w:tr w:rsidTr="001363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151">
            <w:pPr>
              <w:pStyle w:val="BodyText"/>
              <w:rPr>
                <w:lang w:val="en-NZ"/>
              </w:rPr>
            </w:pPr>
            <w:r w:rsidRPr="007A1151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151" w:rsidP="007A1151">
            <w:pPr>
              <w:pStyle w:val="BodyText"/>
            </w:pPr>
            <w:r w:rsidRPr="007A1151">
              <w:t>New unit of competency</w:t>
            </w:r>
          </w:p>
        </w:tc>
      </w:tr>
    </w:tbl>
    <w:p w:rsidR="00000000" w:rsidRPr="007A1151" w:rsidP="007A1151">
      <w:pPr>
        <w:pStyle w:val="BodyText"/>
      </w:pPr>
    </w:p>
    <w:p w:rsidR="00000000" w:rsidRPr="007A1151" w:rsidP="007A1151">
      <w:pPr>
        <w:pStyle w:val="AllowPageBreak"/>
      </w:pPr>
    </w:p>
    <w:p w:rsidR="00000000" w:rsidRPr="007A1151" w:rsidP="007A1151">
      <w:pPr>
        <w:pStyle w:val="Heading1"/>
      </w:pPr>
      <w:bookmarkStart w:id="2" w:name="O_613533"/>
      <w:bookmarkEnd w:id="2"/>
      <w:r w:rsidRPr="007A1151">
        <w:t>Performance Evidence</w:t>
      </w:r>
    </w:p>
    <w:p w:rsidR="00000000" w:rsidRPr="007A1151" w:rsidP="0013639D">
      <w:pPr>
        <w:pStyle w:val="BodyText"/>
      </w:pPr>
      <w:r w:rsidRPr="007A1151">
        <w:t>Before competency can be determined, individuals must have competently conducted non-destructive testing on wheels and rims on a minimum of four occasions, using at least two of the following hardness testing methods:</w:t>
      </w:r>
    </w:p>
    <w:p w:rsidR="00000000" w:rsidRPr="007A1151" w:rsidP="007A1151">
      <w:pPr>
        <w:pStyle w:val="ListBullet"/>
      </w:pPr>
      <w:r w:rsidRPr="007A1151">
        <w:t>penetrant</w:t>
      </w:r>
    </w:p>
    <w:p w:rsidR="00000000" w:rsidRPr="007A1151" w:rsidP="007A1151">
      <w:pPr>
        <w:pStyle w:val="ListBullet"/>
      </w:pPr>
      <w:r w:rsidRPr="007A1151">
        <w:t>magnetic</w:t>
      </w:r>
    </w:p>
    <w:p w:rsidR="00000000" w:rsidRPr="007A1151" w:rsidP="007A1151">
      <w:pPr>
        <w:pStyle w:val="ListBullet"/>
      </w:pPr>
      <w:r w:rsidRPr="007A1151">
        <w:t xml:space="preserve">Rockwell </w:t>
      </w:r>
    </w:p>
    <w:p w:rsidR="00000000" w:rsidRPr="007A1151" w:rsidP="007A1151">
      <w:pPr>
        <w:pStyle w:val="ListBullet"/>
      </w:pPr>
      <w:r w:rsidRPr="007A1151">
        <w:t>Brinell.</w:t>
      </w:r>
    </w:p>
    <w:p w:rsidR="00000000" w:rsidRPr="007A1151" w:rsidP="0013639D">
      <w:pPr>
        <w:pStyle w:val="BodyText"/>
      </w:pPr>
      <w:r w:rsidRPr="007A1151">
        <w:t>Individuals must demonstrate they can:</w:t>
      </w:r>
    </w:p>
    <w:p w:rsidR="00000000" w:rsidRPr="007A1151" w:rsidP="007A1151">
      <w:pPr>
        <w:pStyle w:val="ListBullet"/>
      </w:pPr>
      <w:r w:rsidRPr="007A1151">
        <w:t>prepare equipment for testing, including zeroing and calibration checks</w:t>
      </w:r>
    </w:p>
    <w:p w:rsidR="00000000" w:rsidRPr="007A1151" w:rsidP="007A1151">
      <w:pPr>
        <w:pStyle w:val="ListBullet"/>
      </w:pPr>
      <w:r w:rsidRPr="007A1151">
        <w:t>select and apply testing methods</w:t>
      </w:r>
    </w:p>
    <w:p w:rsidR="00000000" w:rsidRPr="007A1151" w:rsidP="007A1151">
      <w:pPr>
        <w:pStyle w:val="ListBullet"/>
      </w:pPr>
      <w:r w:rsidRPr="007A1151">
        <w:t xml:space="preserve">verify test results </w:t>
      </w:r>
    </w:p>
    <w:p w:rsidR="00000000" w:rsidRPr="007A1151" w:rsidP="007A1151">
      <w:pPr>
        <w:pStyle w:val="ListBullet"/>
      </w:pPr>
      <w:r w:rsidRPr="007A1151">
        <w:t>record test outcomes.</w:t>
      </w:r>
    </w:p>
    <w:p w:rsidR="00000000" w:rsidRPr="007A1151" w:rsidP="007A1151">
      <w:pPr>
        <w:pStyle w:val="AllowPageBreak"/>
      </w:pPr>
    </w:p>
    <w:p w:rsidR="00000000" w:rsidRPr="007A1151" w:rsidP="007A1151">
      <w:pPr>
        <w:pStyle w:val="Heading1"/>
      </w:pPr>
      <w:bookmarkStart w:id="3" w:name="O_613534"/>
      <w:bookmarkEnd w:id="3"/>
      <w:r w:rsidRPr="007A1151">
        <w:t>Knowledge Evidence</w:t>
      </w:r>
    </w:p>
    <w:p w:rsidR="00000000" w:rsidRPr="007A1151" w:rsidP="0013639D">
      <w:pPr>
        <w:pStyle w:val="BodyText"/>
      </w:pPr>
      <w:r w:rsidRPr="007A1151">
        <w:t>Individuals must be able to dem</w:t>
      </w:r>
      <w:r w:rsidRPr="007A1151">
        <w:t>onstrate knowledge of:</w:t>
      </w:r>
    </w:p>
    <w:p w:rsidR="00000000" w:rsidRPr="007A1151" w:rsidP="007A1151">
      <w:pPr>
        <w:pStyle w:val="ListBullet"/>
      </w:pPr>
      <w:r w:rsidRPr="007A1151">
        <w:t>principles and methods of penetrant, magnetic, Rockwell and Brinell hardness testing, and limitations, advantages and hazards associated with the testing</w:t>
      </w:r>
    </w:p>
    <w:p w:rsidR="00000000" w:rsidRPr="007A1151" w:rsidP="007A1151">
      <w:pPr>
        <w:pStyle w:val="ListBullet"/>
      </w:pPr>
      <w:r w:rsidRPr="007A1151">
        <w:t>non-destructive testing terminology</w:t>
      </w:r>
    </w:p>
    <w:p w:rsidR="00000000" w:rsidRPr="007A1151" w:rsidP="007A1151">
      <w:pPr>
        <w:pStyle w:val="ListBullet"/>
      </w:pPr>
      <w:r w:rsidRPr="007A1151">
        <w:t>non-destructive test equipment use, mainte</w:t>
      </w:r>
      <w:r w:rsidRPr="007A1151">
        <w:t>nance and storage</w:t>
      </w:r>
    </w:p>
    <w:p w:rsidR="00000000" w:rsidRPr="007A1151" w:rsidP="007A1151">
      <w:pPr>
        <w:pStyle w:val="ListBullet"/>
      </w:pPr>
      <w:r w:rsidRPr="007A1151">
        <w:t>non-destructive testing preparation procedures</w:t>
      </w:r>
    </w:p>
    <w:p w:rsidR="00000000" w:rsidRPr="007A1151" w:rsidP="007A1151">
      <w:pPr>
        <w:pStyle w:val="ListBullet"/>
      </w:pPr>
      <w:r w:rsidRPr="007A1151">
        <w:t>non-destructive testing verification methods and techniques</w:t>
      </w:r>
    </w:p>
    <w:p w:rsidR="00000000" w:rsidRPr="007A1151" w:rsidP="007A1151">
      <w:pPr>
        <w:pStyle w:val="ListBullet"/>
      </w:pPr>
      <w:r w:rsidRPr="007A1151">
        <w:t xml:space="preserve">non-destructive testing analysis techniques </w:t>
      </w:r>
    </w:p>
    <w:p w:rsidR="00000000" w:rsidRPr="007A1151" w:rsidP="007A1151">
      <w:pPr>
        <w:pStyle w:val="ListBullet"/>
      </w:pPr>
      <w:r w:rsidRPr="007A1151">
        <w:t>reporting and recording procedures relevant to non-destructive testing.</w:t>
      </w:r>
    </w:p>
    <w:p w:rsidR="00000000" w:rsidRPr="007A1151" w:rsidP="007A1151">
      <w:pPr>
        <w:pStyle w:val="AllowPageBreak"/>
      </w:pPr>
    </w:p>
    <w:p w:rsidR="00000000" w:rsidRPr="007A1151" w:rsidP="007A1151">
      <w:pPr>
        <w:pStyle w:val="Heading1"/>
      </w:pPr>
      <w:bookmarkStart w:id="4" w:name="O_613535"/>
      <w:bookmarkEnd w:id="4"/>
      <w:r w:rsidRPr="007A1151">
        <w:t>Assessment Conditions</w:t>
      </w:r>
    </w:p>
    <w:p w:rsidR="00000000" w:rsidRPr="007A1151" w:rsidP="0013639D">
      <w:pPr>
        <w:pStyle w:val="BodyText"/>
      </w:pPr>
      <w:r w:rsidRPr="007A1151">
        <w:t>Assessors must satisfy SNR/AQTF assessor requirements.</w:t>
      </w:r>
    </w:p>
    <w:p w:rsidR="00000000" w:rsidRPr="007A1151" w:rsidP="0013639D">
      <w:pPr>
        <w:pStyle w:val="BodyText"/>
      </w:pPr>
      <w:r w:rsidRPr="007A1151">
        <w:t>Competency is to be assessed in the workplace or a simulated environment that accurately reflects performance in a real workplace setting.</w:t>
      </w:r>
    </w:p>
    <w:p w:rsidR="00000000" w:rsidRPr="007A1151" w:rsidP="0013639D">
      <w:pPr>
        <w:pStyle w:val="BodyText"/>
      </w:pPr>
      <w:r w:rsidRPr="007A1151">
        <w:t>Where assessment of competency includes third-party evidence, individuals must provide evidence that links them to the equipment that they have worked on, e.g. test results.</w:t>
      </w:r>
    </w:p>
    <w:p w:rsidR="00000000" w:rsidRPr="007A1151" w:rsidP="0013639D">
      <w:pPr>
        <w:pStyle w:val="BodyText"/>
      </w:pPr>
      <w:r w:rsidRPr="007A1151">
        <w:t>Assessors must verify performance evidence through questioning on skills and knowl</w:t>
      </w:r>
      <w:r w:rsidRPr="007A1151">
        <w:t>edge to ensure correct interpretation and application.</w:t>
      </w:r>
    </w:p>
    <w:p w:rsidR="00000000" w:rsidRPr="007A1151" w:rsidP="0013639D">
      <w:pPr>
        <w:pStyle w:val="BodyText"/>
      </w:pPr>
      <w:r w:rsidRPr="007A1151">
        <w:t>The following resources must be made available:</w:t>
      </w:r>
    </w:p>
    <w:p w:rsidR="00000000" w:rsidRPr="007A1151" w:rsidP="007A1151">
      <w:pPr>
        <w:pStyle w:val="ListBullet"/>
      </w:pPr>
      <w:r w:rsidRPr="007A1151">
        <w:t>Australian standards relevant to the non-destructive testing of wheel and rim assemblies</w:t>
      </w:r>
    </w:p>
    <w:p w:rsidR="00000000" w:rsidRPr="007A1151" w:rsidP="007A1151">
      <w:pPr>
        <w:pStyle w:val="ListBullet"/>
      </w:pPr>
      <w:r w:rsidRPr="007A1151">
        <w:t>workplace procedures and manufacturer instructions</w:t>
      </w:r>
    </w:p>
    <w:p w:rsidR="00000000" w:rsidRPr="007A1151" w:rsidP="007A1151">
      <w:pPr>
        <w:pStyle w:val="ListBullet"/>
      </w:pPr>
      <w:r w:rsidRPr="007A1151">
        <w:t>non-destruct</w:t>
      </w:r>
      <w:r w:rsidRPr="007A1151">
        <w:t>ive testing equipment</w:t>
      </w:r>
    </w:p>
    <w:p w:rsidR="00000000" w:rsidRPr="007A1151" w:rsidP="007A1151">
      <w:pPr>
        <w:pStyle w:val="ListBullet"/>
      </w:pPr>
      <w:r w:rsidRPr="007A1151">
        <w:t>workplace location or simulated workplace.</w:t>
      </w:r>
    </w:p>
    <w:p w:rsidR="00000000" w:rsidRPr="007A1151" w:rsidP="007A1151">
      <w:pPr>
        <w:pStyle w:val="AllowPageBreak"/>
      </w:pPr>
    </w:p>
    <w:p w:rsidR="00000000" w:rsidRPr="007A1151" w:rsidP="007A1151">
      <w:pPr>
        <w:pStyle w:val="Heading1"/>
      </w:pPr>
      <w:bookmarkStart w:id="5" w:name="O_613538"/>
      <w:bookmarkEnd w:id="5"/>
      <w:r w:rsidRPr="007A1151">
        <w:t>Links</w:t>
      </w:r>
    </w:p>
    <w:p w:rsidR="00000000" w:rsidRPr="007A1151" w:rsidP="0013639D">
      <w:pPr>
        <w:pStyle w:val="BodyText"/>
      </w:pPr>
      <w:r w:rsidRPr="007A11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7406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A1151" w:rsidP="0013639D">
      <w:pPr>
        <w:pStyle w:val="BodyText"/>
      </w:pPr>
      <w:r w:rsidRPr="007A1151">
        <w:t>Companion Volume imple</w:t>
      </w:r>
      <w:r w:rsidRPr="007A1151">
        <w:t xml:space="preserve">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7406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A1151" w:rsidP="007A1151"/>
    <w:sectPr w:rsidSect="007A11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151" w:rsidRPr="0013639D" w:rsidP="001363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9D" w:rsidP="007A1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639D" w:rsidP="007A1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639D" w:rsidP="007A1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151" w:rsidRPr="0013639D" w:rsidP="001363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9D" w:rsidRPr="002D2AF8" w:rsidP="007A1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AURKTJ004 Conduct non-destructive testing of wheel and rim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13639D" w:rsidP="007A1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403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107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151"/>
  </w:style>
  <w:style w:type="character" w:customStyle="1" w:styleId="Heading1Char">
    <w:name w:val="Heading 1 Char"/>
    <w:basedOn w:val="DefaultParagraphFont"/>
    <w:link w:val="Heading1"/>
    <w:rsid w:val="007A1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1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1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1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151"/>
    <w:rPr>
      <w:b/>
      <w:spacing w:val="0"/>
    </w:rPr>
  </w:style>
  <w:style w:type="paragraph" w:customStyle="1" w:styleId="SuperHeading">
    <w:name w:val="SuperHeading"/>
    <w:basedOn w:val="Normal"/>
    <w:rsid w:val="007A1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1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1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11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1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1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1151"/>
    <w:rPr>
      <w:i/>
    </w:rPr>
  </w:style>
  <w:style w:type="paragraph" w:styleId="Caption">
    <w:name w:val="caption"/>
    <w:basedOn w:val="BodyText"/>
    <w:next w:val="Normal"/>
    <w:qFormat/>
    <w:rsid w:val="007A1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151"/>
  </w:style>
  <w:style w:type="paragraph" w:styleId="TableofFigures">
    <w:name w:val="table of figures"/>
    <w:basedOn w:val="Normal"/>
    <w:next w:val="Normal"/>
    <w:semiHidden/>
    <w:rsid w:val="007A1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1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1151"/>
    <w:rPr>
      <w:rFonts w:ascii="Wingdings" w:hAnsi="Wingdings"/>
    </w:rPr>
  </w:style>
  <w:style w:type="paragraph" w:customStyle="1" w:styleId="TableHeading">
    <w:name w:val="Table Heading"/>
    <w:basedOn w:val="HeadingBase"/>
    <w:rsid w:val="007A1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151"/>
    <w:rPr>
      <w:color w:val="0033CC"/>
      <w:u w:val="none"/>
    </w:rPr>
  </w:style>
  <w:style w:type="paragraph" w:customStyle="1" w:styleId="BodyTextRight">
    <w:name w:val="Body Text Right"/>
    <w:basedOn w:val="BodyText"/>
    <w:rsid w:val="007A1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1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151"/>
    <w:rPr>
      <w:sz w:val="32"/>
    </w:rPr>
  </w:style>
  <w:style w:type="paragraph" w:customStyle="1" w:styleId="HeadingProcedure">
    <w:name w:val="Heading Procedure"/>
    <w:basedOn w:val="HeadingBase"/>
    <w:next w:val="Normal"/>
    <w:rsid w:val="007A1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151"/>
    <w:pPr>
      <w:spacing w:before="60" w:after="60"/>
    </w:pPr>
  </w:style>
  <w:style w:type="paragraph" w:styleId="ListContinue">
    <w:name w:val="List Continue"/>
    <w:basedOn w:val="List"/>
    <w:rsid w:val="007A1151"/>
    <w:pPr>
      <w:ind w:firstLine="0"/>
    </w:pPr>
  </w:style>
  <w:style w:type="paragraph" w:customStyle="1" w:styleId="ListNote">
    <w:name w:val="List Note"/>
    <w:basedOn w:val="List"/>
    <w:rsid w:val="007A1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151"/>
    <w:rPr>
      <w:rFonts w:ascii="Courier New" w:hAnsi="Courier New"/>
    </w:rPr>
  </w:style>
  <w:style w:type="paragraph" w:customStyle="1" w:styleId="NoteBullet">
    <w:name w:val="Note Bullet"/>
    <w:basedOn w:val="Note"/>
    <w:rsid w:val="007A1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1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1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151"/>
    <w:rPr>
      <w:b/>
      <w:smallCaps/>
    </w:rPr>
  </w:style>
  <w:style w:type="paragraph" w:customStyle="1" w:styleId="TableListNumber">
    <w:name w:val="Table List Number"/>
    <w:basedOn w:val="ListNumber"/>
    <w:rsid w:val="007A1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151"/>
    <w:pPr>
      <w:numPr>
        <w:numId w:val="8"/>
      </w:numPr>
    </w:pPr>
  </w:style>
  <w:style w:type="paragraph" w:customStyle="1" w:styleId="ListAlpha2">
    <w:name w:val="List Alpha 2"/>
    <w:basedOn w:val="List2"/>
    <w:rsid w:val="007A1151"/>
    <w:pPr>
      <w:numPr>
        <w:numId w:val="7"/>
      </w:numPr>
    </w:pPr>
  </w:style>
  <w:style w:type="paragraph" w:styleId="List2">
    <w:name w:val="List 2"/>
    <w:basedOn w:val="BodyText"/>
    <w:rsid w:val="007A1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1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1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1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1151"/>
    <w:pPr>
      <w:numPr>
        <w:numId w:val="3"/>
      </w:numPr>
    </w:pPr>
  </w:style>
  <w:style w:type="paragraph" w:styleId="ListContinue2">
    <w:name w:val="List Continue 2"/>
    <w:basedOn w:val="List2"/>
    <w:rsid w:val="007A1151"/>
    <w:pPr>
      <w:ind w:firstLine="0"/>
    </w:pPr>
  </w:style>
  <w:style w:type="paragraph" w:styleId="ListContinue3">
    <w:name w:val="List Continue 3"/>
    <w:basedOn w:val="List3"/>
    <w:rsid w:val="007A1151"/>
    <w:pPr>
      <w:ind w:left="1021" w:firstLine="0"/>
    </w:pPr>
  </w:style>
  <w:style w:type="paragraph" w:styleId="ListContinue4">
    <w:name w:val="List Continue 4"/>
    <w:basedOn w:val="List4"/>
    <w:rsid w:val="007A1151"/>
    <w:pPr>
      <w:ind w:firstLine="0"/>
    </w:pPr>
  </w:style>
  <w:style w:type="paragraph" w:styleId="ListContinue5">
    <w:name w:val="List Continue 5"/>
    <w:basedOn w:val="List5"/>
    <w:rsid w:val="007A1151"/>
    <w:pPr>
      <w:ind w:firstLine="0"/>
    </w:pPr>
  </w:style>
  <w:style w:type="paragraph" w:styleId="ListNumber3">
    <w:name w:val="List Number 3"/>
    <w:basedOn w:val="List3"/>
    <w:rsid w:val="007A1151"/>
    <w:pPr>
      <w:numPr>
        <w:numId w:val="4"/>
      </w:numPr>
    </w:pPr>
  </w:style>
  <w:style w:type="paragraph" w:styleId="ListNumber4">
    <w:name w:val="List Number 4"/>
    <w:basedOn w:val="List4"/>
    <w:rsid w:val="007A1151"/>
    <w:pPr>
      <w:numPr>
        <w:numId w:val="5"/>
      </w:numPr>
    </w:pPr>
  </w:style>
  <w:style w:type="paragraph" w:styleId="ListNumber5">
    <w:name w:val="List Number 5"/>
    <w:basedOn w:val="List5"/>
    <w:rsid w:val="007A1151"/>
    <w:pPr>
      <w:numPr>
        <w:numId w:val="6"/>
      </w:numPr>
    </w:pPr>
  </w:style>
  <w:style w:type="paragraph" w:styleId="BlockText">
    <w:name w:val="Block Text"/>
    <w:basedOn w:val="Normal"/>
    <w:rsid w:val="007A1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151"/>
    <w:rPr>
      <w:sz w:val="16"/>
      <w:vertAlign w:val="superscript"/>
    </w:rPr>
  </w:style>
  <w:style w:type="character" w:customStyle="1" w:styleId="Symbols">
    <w:name w:val="Symbols"/>
    <w:basedOn w:val="DefaultParagraphFont"/>
    <w:rsid w:val="007A1151"/>
    <w:rPr>
      <w:rFonts w:ascii="Symbol" w:hAnsi="Symbol"/>
    </w:rPr>
  </w:style>
  <w:style w:type="character" w:customStyle="1" w:styleId="MenuOptions">
    <w:name w:val="Menu Options"/>
    <w:basedOn w:val="DefaultParagraphFont"/>
    <w:rsid w:val="007A1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151"/>
    <w:rPr>
      <w:b/>
    </w:rPr>
  </w:style>
  <w:style w:type="character" w:customStyle="1" w:styleId="Underlined">
    <w:name w:val="Underlined"/>
    <w:basedOn w:val="DefaultParagraphFont"/>
    <w:rsid w:val="007A1151"/>
    <w:rPr>
      <w:u w:val="single"/>
    </w:rPr>
  </w:style>
  <w:style w:type="paragraph" w:customStyle="1" w:styleId="TableBodyTextRight">
    <w:name w:val="Table Body Text Right"/>
    <w:basedOn w:val="TableBodyText"/>
    <w:rsid w:val="007A1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151"/>
    <w:rPr>
      <w:sz w:val="18"/>
    </w:rPr>
  </w:style>
  <w:style w:type="paragraph" w:customStyle="1" w:styleId="BodySmallRight">
    <w:name w:val="Body Small Right"/>
    <w:basedOn w:val="BodyTextRight"/>
    <w:rsid w:val="007A1151"/>
    <w:rPr>
      <w:sz w:val="18"/>
      <w:szCs w:val="18"/>
    </w:rPr>
  </w:style>
  <w:style w:type="paragraph" w:customStyle="1" w:styleId="MarginEdition">
    <w:name w:val="Margin Edition"/>
    <w:basedOn w:val="MarginNote"/>
    <w:rsid w:val="007A1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151"/>
    <w:rPr>
      <w:sz w:val="2"/>
      <w:szCs w:val="2"/>
    </w:rPr>
  </w:style>
  <w:style w:type="character" w:customStyle="1" w:styleId="Small">
    <w:name w:val="Small"/>
    <w:basedOn w:val="DefaultParagraphFont"/>
    <w:rsid w:val="007A1151"/>
    <w:rPr>
      <w:sz w:val="16"/>
    </w:rPr>
  </w:style>
  <w:style w:type="paragraph" w:customStyle="1" w:styleId="WideTable">
    <w:name w:val="Wide Table"/>
    <w:basedOn w:val="Normal"/>
    <w:rsid w:val="007A1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151"/>
  </w:style>
  <w:style w:type="paragraph" w:styleId="Quote">
    <w:name w:val="Quote"/>
    <w:basedOn w:val="Heading1"/>
    <w:link w:val="QuoteChar"/>
    <w:qFormat/>
    <w:rsid w:val="007A1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151"/>
    <w:pPr>
      <w:pageBreakBefore/>
    </w:pPr>
  </w:style>
  <w:style w:type="paragraph" w:customStyle="1" w:styleId="Border">
    <w:name w:val="Border"/>
    <w:basedOn w:val="Normal"/>
    <w:qFormat/>
    <w:rsid w:val="007A1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151"/>
    <w:rPr>
      <w:u w:val="single"/>
    </w:rPr>
  </w:style>
  <w:style w:type="character" w:customStyle="1" w:styleId="BoldandItalics">
    <w:name w:val="Bold and Italics"/>
    <w:qFormat/>
    <w:rsid w:val="007A1151"/>
    <w:rPr>
      <w:b/>
      <w:i/>
      <w:u w:val="none"/>
    </w:rPr>
  </w:style>
  <w:style w:type="paragraph" w:styleId="BalloonText">
    <w:name w:val="Balloon Text"/>
    <w:basedOn w:val="Normal"/>
    <w:link w:val="BalloonTextChar"/>
    <w:rsid w:val="007A1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1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1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151"/>
    <w:pPr>
      <w:spacing w:before="0" w:after="0"/>
    </w:pPr>
  </w:style>
  <w:style w:type="paragraph" w:customStyle="1" w:styleId="BodyTextBold">
    <w:name w:val="Body Text Bold"/>
    <w:basedOn w:val="BodyText"/>
    <w:qFormat/>
    <w:rsid w:val="007A1151"/>
    <w:rPr>
      <w:b/>
    </w:rPr>
  </w:style>
  <w:style w:type="character" w:styleId="Hyperlink">
    <w:name w:val="Hyperlink"/>
    <w:basedOn w:val="DefaultParagraphFont"/>
    <w:uiPriority w:val="99"/>
    <w:unhideWhenUsed/>
    <w:rsid w:val="001363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2341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AURKTJ004 Conduct non-destructive testing of wheel and rim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2020-11-13T05:29:00Z</dcterms:created>
  <dcterms:modified xsi:type="dcterms:W3CDTF">2020-11-13T05:29:00Z</dcterms:modified>
</cp:coreProperties>
</file>