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17AEE" w:rsidP="00717A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AURKTE001 Analyse and evaluate faults in mobile plant engine and fuel systems</w:t>
      </w:r>
      <w:r>
        <w:fldChar w:fldCharType="end"/>
      </w:r>
    </w:p>
    <w:p w:rsidR="00717AEE" w:rsidP="00717AEE">
      <w:pPr>
        <w:pStyle w:val="Version"/>
        <w:sectPr w:rsidSect="003E4A7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E4A7D" w:rsidP="003E4A7D">
      <w:pPr>
        <w:pStyle w:val="SuperHeading"/>
      </w:pPr>
      <w:r w:rsidRPr="003E4A7D">
        <w:t>Assessment Requirements for AURKTE001 Analyse and evaluate faults in mobile plant engine and fuel systems</w:t>
      </w:r>
    </w:p>
    <w:p w:rsidR="00000000" w:rsidRPr="003E4A7D" w:rsidP="003E4A7D">
      <w:pPr>
        <w:pStyle w:val="Heading1"/>
      </w:pPr>
      <w:bookmarkStart w:id="1" w:name="O_774008"/>
      <w:bookmarkEnd w:id="1"/>
      <w:r w:rsidRPr="003E4A7D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717AE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A7D" w:rsidP="003E4A7D">
            <w:pPr>
              <w:pStyle w:val="BodyText"/>
            </w:pPr>
            <w:r w:rsidRPr="003E4A7D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A7D">
            <w:pPr>
              <w:pStyle w:val="BodyText"/>
              <w:rPr>
                <w:lang w:val="en-NZ"/>
              </w:rPr>
            </w:pPr>
            <w:r w:rsidRPr="003E4A7D">
              <w:rPr>
                <w:rStyle w:val="SpecialBold"/>
              </w:rPr>
              <w:t>Comment</w:t>
            </w:r>
          </w:p>
        </w:tc>
      </w:tr>
      <w:tr w:rsidTr="00717AE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A7D">
            <w:pPr>
              <w:pStyle w:val="BodyText"/>
              <w:rPr>
                <w:lang w:val="en-NZ"/>
              </w:rPr>
            </w:pPr>
            <w:r w:rsidRPr="003E4A7D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A7D" w:rsidP="003E4A7D">
            <w:pPr>
              <w:pStyle w:val="BodyText"/>
            </w:pPr>
            <w:r w:rsidRPr="003E4A7D">
              <w:t>New unit of competency.</w:t>
            </w:r>
          </w:p>
        </w:tc>
      </w:tr>
    </w:tbl>
    <w:p w:rsidR="00000000" w:rsidRPr="003E4A7D" w:rsidP="003E4A7D">
      <w:pPr>
        <w:pStyle w:val="BodyText"/>
      </w:pPr>
    </w:p>
    <w:p w:rsidR="00000000" w:rsidRPr="003E4A7D" w:rsidP="003E4A7D">
      <w:pPr>
        <w:pStyle w:val="AllowPageBreak"/>
      </w:pPr>
    </w:p>
    <w:p w:rsidR="00000000" w:rsidRPr="003E4A7D" w:rsidP="003E4A7D">
      <w:pPr>
        <w:pStyle w:val="Heading1"/>
      </w:pPr>
      <w:bookmarkStart w:id="2" w:name="O_774009"/>
      <w:bookmarkEnd w:id="2"/>
      <w:r w:rsidRPr="003E4A7D">
        <w:t>Performance Evidence</w:t>
      </w:r>
    </w:p>
    <w:p w:rsidR="00000000" w:rsidRPr="003E4A7D" w:rsidP="00717AEE">
      <w:pPr>
        <w:pStyle w:val="BodyText"/>
      </w:pPr>
      <w:r w:rsidRPr="003E4A7D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3E4A7D" w:rsidP="003E4A7D">
      <w:pPr>
        <w:pStyle w:val="ListBullet"/>
      </w:pPr>
      <w:r w:rsidRPr="003E4A7D">
        <w:t>analyse and evaluate a fault in t</w:t>
      </w:r>
      <w:r w:rsidRPr="003E4A7D">
        <w:t>he:</w:t>
      </w:r>
    </w:p>
    <w:p w:rsidR="00000000" w:rsidRPr="003E4A7D" w:rsidP="003E4A7D">
      <w:pPr>
        <w:pStyle w:val="ListBullet2"/>
      </w:pPr>
      <w:r w:rsidRPr="003E4A7D">
        <w:t xml:space="preserve">engine system of a mobile plant machine </w:t>
      </w:r>
    </w:p>
    <w:p w:rsidR="00000000" w:rsidRPr="003E4A7D" w:rsidP="003E4A7D">
      <w:pPr>
        <w:pStyle w:val="ListBullet2"/>
      </w:pPr>
      <w:r w:rsidRPr="003E4A7D">
        <w:t xml:space="preserve">fuel system of a different mobile plant machine </w:t>
      </w:r>
    </w:p>
    <w:p w:rsidR="00000000" w:rsidRPr="003E4A7D" w:rsidP="003E4A7D">
      <w:pPr>
        <w:pStyle w:val="ListBullet2"/>
      </w:pPr>
      <w:r w:rsidRPr="003E4A7D">
        <w:t>engine or fuel system of a third mobile plant machine.</w:t>
      </w:r>
    </w:p>
    <w:p w:rsidR="00000000" w:rsidRPr="003E4A7D" w:rsidP="003E4A7D">
      <w:pPr>
        <w:pStyle w:val="AllowPageBreak"/>
      </w:pPr>
    </w:p>
    <w:p w:rsidR="00000000" w:rsidRPr="003E4A7D" w:rsidP="003E4A7D">
      <w:pPr>
        <w:pStyle w:val="Heading1"/>
      </w:pPr>
      <w:bookmarkStart w:id="3" w:name="O_774010"/>
      <w:bookmarkEnd w:id="3"/>
      <w:r w:rsidRPr="003E4A7D">
        <w:t>Knowledge Evidence</w:t>
      </w:r>
    </w:p>
    <w:p w:rsidR="00000000" w:rsidRPr="003E4A7D" w:rsidP="00717AEE">
      <w:pPr>
        <w:pStyle w:val="BodyText"/>
      </w:pPr>
      <w:r w:rsidRPr="003E4A7D">
        <w:t>Individuals must be able to demonstrate knowledge of:</w:t>
      </w:r>
    </w:p>
    <w:p w:rsidR="00000000" w:rsidRPr="003E4A7D" w:rsidP="003E4A7D">
      <w:pPr>
        <w:pStyle w:val="ListBullet"/>
      </w:pPr>
      <w:r w:rsidRPr="003E4A7D">
        <w:t>work health and safety (WHS) and occupational health and safety (OHS) requirements relating to analysing and evaluating faults in mobile plant engine and fuel systems, including procedures for:</w:t>
      </w:r>
    </w:p>
    <w:p w:rsidR="00000000" w:rsidRPr="003E4A7D" w:rsidP="003E4A7D">
      <w:pPr>
        <w:pStyle w:val="ListBullet2"/>
      </w:pPr>
      <w:r w:rsidRPr="003E4A7D">
        <w:t>working with high pressure fuel hazards</w:t>
      </w:r>
    </w:p>
    <w:p w:rsidR="00000000" w:rsidRPr="003E4A7D" w:rsidP="003E4A7D">
      <w:pPr>
        <w:pStyle w:val="ListBullet2"/>
      </w:pPr>
      <w:r w:rsidRPr="003E4A7D">
        <w:t>tagging out and isola</w:t>
      </w:r>
      <w:r w:rsidRPr="003E4A7D">
        <w:t>ting machines</w:t>
      </w:r>
    </w:p>
    <w:p w:rsidR="00000000" w:rsidRPr="003E4A7D" w:rsidP="003E4A7D">
      <w:pPr>
        <w:pStyle w:val="ListBullet"/>
      </w:pPr>
      <w:r w:rsidRPr="003E4A7D">
        <w:t>environmental requirements, including procedures for trapping, storing and disposing of oils and fluids released from engine and fuel systems</w:t>
      </w:r>
    </w:p>
    <w:p w:rsidR="00000000" w:rsidRPr="003E4A7D" w:rsidP="003E4A7D">
      <w:pPr>
        <w:pStyle w:val="ListBullet"/>
      </w:pPr>
      <w:r w:rsidRPr="003E4A7D">
        <w:t>principles and processes involved in planning and implementing analysis and evaluation of mobile pl</w:t>
      </w:r>
      <w:r w:rsidRPr="003E4A7D">
        <w:t>ant engine and fuel system faults</w:t>
      </w:r>
    </w:p>
    <w:p w:rsidR="00000000" w:rsidRPr="003E4A7D" w:rsidP="003E4A7D">
      <w:pPr>
        <w:pStyle w:val="ListBullet"/>
      </w:pPr>
      <w:r w:rsidRPr="003E4A7D">
        <w:t>design and planning of diagnostic procedures of mobile plant engine and fuel system faults, including procedures for diagnosing:</w:t>
      </w:r>
    </w:p>
    <w:p w:rsidR="00000000" w:rsidRPr="003E4A7D" w:rsidP="003E4A7D">
      <w:pPr>
        <w:pStyle w:val="ListBullet2"/>
      </w:pPr>
      <w:r w:rsidRPr="003E4A7D">
        <w:t>mechanical faults</w:t>
      </w:r>
    </w:p>
    <w:p w:rsidR="00000000" w:rsidRPr="003E4A7D" w:rsidP="003E4A7D">
      <w:pPr>
        <w:pStyle w:val="ListBullet2"/>
      </w:pPr>
      <w:r w:rsidRPr="003E4A7D">
        <w:t>electrical faults</w:t>
      </w:r>
    </w:p>
    <w:p w:rsidR="00000000" w:rsidRPr="003E4A7D" w:rsidP="003E4A7D">
      <w:pPr>
        <w:pStyle w:val="ListBullet2"/>
      </w:pPr>
      <w:r w:rsidRPr="003E4A7D">
        <w:t>fuel system faults</w:t>
      </w:r>
    </w:p>
    <w:p w:rsidR="00000000" w:rsidRPr="003E4A7D" w:rsidP="003E4A7D">
      <w:pPr>
        <w:pStyle w:val="ListBullet"/>
      </w:pPr>
      <w:r w:rsidRPr="003E4A7D">
        <w:t>procedures for analysing and evaluating mobile plant engine and fuel system faults, including:</w:t>
      </w:r>
    </w:p>
    <w:p w:rsidR="00000000" w:rsidRPr="003E4A7D" w:rsidP="003E4A7D">
      <w:pPr>
        <w:pStyle w:val="ListBullet2"/>
      </w:pPr>
      <w:r w:rsidRPr="003E4A7D">
        <w:t>system failure analysis</w:t>
      </w:r>
    </w:p>
    <w:p w:rsidR="00000000" w:rsidRPr="003E4A7D" w:rsidP="003E4A7D">
      <w:pPr>
        <w:pStyle w:val="ListBullet2"/>
      </w:pPr>
      <w:r w:rsidRPr="003E4A7D">
        <w:t>component failure analysis</w:t>
      </w:r>
    </w:p>
    <w:p w:rsidR="00000000" w:rsidRPr="003E4A7D" w:rsidP="003E4A7D">
      <w:pPr>
        <w:pStyle w:val="ListBullet"/>
      </w:pPr>
      <w:r w:rsidRPr="003E4A7D">
        <w:t xml:space="preserve">types, functions, operation and limitations of the following systems: </w:t>
      </w:r>
    </w:p>
    <w:p w:rsidR="00000000" w:rsidRPr="003E4A7D" w:rsidP="003E4A7D">
      <w:pPr>
        <w:pStyle w:val="ListBullet2"/>
      </w:pPr>
      <w:r w:rsidRPr="003E4A7D">
        <w:t>engine and components</w:t>
      </w:r>
    </w:p>
    <w:p w:rsidR="00000000" w:rsidRPr="003E4A7D" w:rsidP="003E4A7D">
      <w:pPr>
        <w:pStyle w:val="ListBullet2"/>
      </w:pPr>
      <w:r w:rsidRPr="003E4A7D">
        <w:t>fuel system an</w:t>
      </w:r>
      <w:r w:rsidRPr="003E4A7D">
        <w:t>d components</w:t>
      </w:r>
    </w:p>
    <w:p w:rsidR="00000000" w:rsidRPr="003E4A7D" w:rsidP="003E4A7D">
      <w:pPr>
        <w:pStyle w:val="ListBullet"/>
      </w:pPr>
      <w:r w:rsidRPr="003E4A7D">
        <w:t>impact of other associated vehicle systems on mobile plant engine and fuel system operation, including:</w:t>
      </w:r>
    </w:p>
    <w:p w:rsidR="00000000" w:rsidRPr="003E4A7D" w:rsidP="003E4A7D">
      <w:pPr>
        <w:pStyle w:val="ListBullet2"/>
      </w:pPr>
      <w:r w:rsidRPr="003E4A7D">
        <w:t>engine electrical system and components</w:t>
      </w:r>
    </w:p>
    <w:p w:rsidR="00000000" w:rsidRPr="003E4A7D" w:rsidP="003E4A7D">
      <w:pPr>
        <w:pStyle w:val="ListBullet2"/>
      </w:pPr>
      <w:r w:rsidRPr="003E4A7D">
        <w:t xml:space="preserve">intake system and components, including: </w:t>
      </w:r>
    </w:p>
    <w:p w:rsidR="00000000" w:rsidRPr="003E4A7D" w:rsidP="003E4A7D">
      <w:pPr>
        <w:pStyle w:val="ListBullet3"/>
      </w:pPr>
      <w:r w:rsidRPr="003E4A7D">
        <w:t>air charge cooling</w:t>
      </w:r>
    </w:p>
    <w:p w:rsidR="00000000" w:rsidRPr="003E4A7D" w:rsidP="003E4A7D">
      <w:pPr>
        <w:pStyle w:val="ListBullet3"/>
      </w:pPr>
      <w:r w:rsidRPr="003E4A7D">
        <w:t>after/inter-cooling arrangements</w:t>
      </w:r>
    </w:p>
    <w:p w:rsidR="00000000" w:rsidRPr="003E4A7D" w:rsidP="003E4A7D">
      <w:pPr>
        <w:pStyle w:val="ListBullet2"/>
      </w:pPr>
      <w:r w:rsidRPr="003E4A7D">
        <w:t>exhaust system and components, including single and multi-staged turbo charging</w:t>
      </w:r>
    </w:p>
    <w:p w:rsidR="00000000" w:rsidRPr="003E4A7D" w:rsidP="003E4A7D">
      <w:pPr>
        <w:pStyle w:val="ListBullet2"/>
      </w:pPr>
      <w:r w:rsidRPr="003E4A7D">
        <w:t>lubrication system and components</w:t>
      </w:r>
    </w:p>
    <w:p w:rsidR="00000000" w:rsidRPr="003E4A7D" w:rsidP="003E4A7D">
      <w:pPr>
        <w:pStyle w:val="ListBullet2"/>
      </w:pPr>
      <w:r w:rsidRPr="003E4A7D">
        <w:t>cooling system and components</w:t>
      </w:r>
    </w:p>
    <w:p w:rsidR="00000000" w:rsidRPr="003E4A7D" w:rsidP="003E4A7D">
      <w:pPr>
        <w:pStyle w:val="ListBullet"/>
      </w:pPr>
      <w:r w:rsidRPr="003E4A7D">
        <w:t>testing procedures for mobile plant engine and fuel systems, including:</w:t>
      </w:r>
    </w:p>
    <w:p w:rsidR="00000000" w:rsidRPr="003E4A7D" w:rsidP="003E4A7D">
      <w:pPr>
        <w:pStyle w:val="ListBullet2"/>
      </w:pPr>
      <w:r w:rsidRPr="003E4A7D">
        <w:t>engine wear analysis</w:t>
      </w:r>
    </w:p>
    <w:p w:rsidR="00000000" w:rsidRPr="003E4A7D" w:rsidP="003E4A7D">
      <w:pPr>
        <w:pStyle w:val="ListBullet2"/>
      </w:pPr>
      <w:r w:rsidRPr="003E4A7D">
        <w:t>engine performanc</w:t>
      </w:r>
      <w:r w:rsidRPr="003E4A7D">
        <w:t>e</w:t>
      </w:r>
    </w:p>
    <w:p w:rsidR="00000000" w:rsidRPr="003E4A7D" w:rsidP="003E4A7D">
      <w:pPr>
        <w:pStyle w:val="ListBullet2"/>
      </w:pPr>
      <w:r w:rsidRPr="003E4A7D">
        <w:t>intake, exhaust, crank case and turbocharger boost</w:t>
      </w:r>
    </w:p>
    <w:p w:rsidR="00000000" w:rsidRPr="003E4A7D" w:rsidP="003E4A7D">
      <w:pPr>
        <w:pStyle w:val="ListBullet2"/>
      </w:pPr>
      <w:r w:rsidRPr="003E4A7D">
        <w:t>exhaust gas analysis</w:t>
      </w:r>
    </w:p>
    <w:p w:rsidR="00000000" w:rsidRPr="003E4A7D" w:rsidP="003E4A7D">
      <w:pPr>
        <w:pStyle w:val="ListBullet2"/>
      </w:pPr>
      <w:r w:rsidRPr="003E4A7D">
        <w:t>sensor, actuator and wiring harness integrity</w:t>
      </w:r>
    </w:p>
    <w:p w:rsidR="00000000" w:rsidRPr="003E4A7D" w:rsidP="003E4A7D">
      <w:pPr>
        <w:pStyle w:val="ListBullet"/>
      </w:pPr>
      <w:r w:rsidRPr="003E4A7D">
        <w:t xml:space="preserve">types, functions, operation and limitations of diagnostic testing equipment required to </w:t>
      </w:r>
      <w:r w:rsidRPr="003E4A7D">
        <w:t xml:space="preserve">analyse and evaluate faults in mobile plant engine and fuel systems </w:t>
      </w:r>
    </w:p>
    <w:p w:rsidR="00000000" w:rsidRPr="003E4A7D" w:rsidP="003E4A7D">
      <w:pPr>
        <w:pStyle w:val="ListBullet"/>
      </w:pPr>
      <w:r w:rsidRPr="003E4A7D">
        <w:t>procedures for documenting and reporting the analysis and evaluation process.</w:t>
      </w:r>
    </w:p>
    <w:p w:rsidR="00000000" w:rsidRPr="003E4A7D" w:rsidP="003E4A7D">
      <w:pPr>
        <w:pStyle w:val="AllowPageBreak"/>
      </w:pPr>
    </w:p>
    <w:p w:rsidR="00000000" w:rsidRPr="003E4A7D" w:rsidP="003E4A7D">
      <w:pPr>
        <w:pStyle w:val="Heading1"/>
      </w:pPr>
      <w:bookmarkStart w:id="4" w:name="O_774011"/>
      <w:bookmarkEnd w:id="4"/>
      <w:r w:rsidRPr="003E4A7D">
        <w:t>Assessment Conditions</w:t>
      </w:r>
    </w:p>
    <w:p w:rsidR="00000000" w:rsidRPr="003E4A7D" w:rsidP="00717AEE">
      <w:pPr>
        <w:pStyle w:val="BodyText"/>
      </w:pPr>
      <w:r w:rsidRPr="003E4A7D">
        <w:t>Assessors must satisfy NVR/AQTF assessor requirements.</w:t>
      </w:r>
    </w:p>
    <w:p w:rsidR="00000000" w:rsidRPr="003E4A7D" w:rsidP="00717AEE">
      <w:pPr>
        <w:pStyle w:val="BodyText"/>
      </w:pPr>
      <w:r w:rsidRPr="003E4A7D">
        <w:t xml:space="preserve">Competency is </w:t>
      </w:r>
      <w:r w:rsidRPr="003E4A7D">
        <w:t>to be assessed in the workplace or a simulated environment that accurately reflects performance in a real workplace setting.</w:t>
      </w:r>
    </w:p>
    <w:p w:rsidR="00000000" w:rsidRPr="003E4A7D" w:rsidP="00717AEE">
      <w:pPr>
        <w:pStyle w:val="BodyText"/>
      </w:pPr>
      <w:r w:rsidRPr="003E4A7D">
        <w:t>Assessment must include direct observation of tasks.</w:t>
      </w:r>
    </w:p>
    <w:p w:rsidR="00000000" w:rsidRPr="003E4A7D" w:rsidP="00717AEE">
      <w:pPr>
        <w:pStyle w:val="BodyText"/>
      </w:pPr>
      <w:r w:rsidRPr="003E4A7D">
        <w:t>Where assessment of competency includes third-party evidence, individuals mu</w:t>
      </w:r>
      <w:r w:rsidRPr="003E4A7D">
        <w:t>st provide evidence that links them to the mobile plant engine and fuel systems that they have worked on, e.g. repair orders.</w:t>
      </w:r>
    </w:p>
    <w:p w:rsidR="00000000" w:rsidRPr="003E4A7D" w:rsidP="00717AEE">
      <w:pPr>
        <w:pStyle w:val="BodyText"/>
      </w:pPr>
      <w:r w:rsidRPr="003E4A7D">
        <w:t>Asse</w:t>
      </w:r>
      <w:r w:rsidRPr="003E4A7D">
        <w:t>ssors must verify performance evidence through questioning on skills and knowledge to ensure correct interpretation and application.</w:t>
      </w:r>
    </w:p>
    <w:p w:rsidR="00000000" w:rsidRPr="003E4A7D" w:rsidP="00717AEE">
      <w:pPr>
        <w:pStyle w:val="BodyText"/>
      </w:pPr>
      <w:r w:rsidRPr="003E4A7D">
        <w:t>The following resources must be made available:</w:t>
      </w:r>
    </w:p>
    <w:p w:rsidR="00000000" w:rsidRPr="003E4A7D" w:rsidP="003E4A7D">
      <w:pPr>
        <w:pStyle w:val="ListBullet"/>
      </w:pPr>
      <w:r w:rsidRPr="003E4A7D">
        <w:t>automotive repair workplace or simulated workplace</w:t>
      </w:r>
    </w:p>
    <w:p w:rsidR="00000000" w:rsidRPr="003E4A7D" w:rsidP="003E4A7D">
      <w:pPr>
        <w:pStyle w:val="ListBullet"/>
      </w:pPr>
      <w:r w:rsidRPr="003E4A7D">
        <w:t>workplace instructions</w:t>
      </w:r>
    </w:p>
    <w:p w:rsidR="00000000" w:rsidRPr="003E4A7D" w:rsidP="003E4A7D">
      <w:pPr>
        <w:pStyle w:val="ListBullet"/>
      </w:pPr>
      <w:r w:rsidRPr="003E4A7D">
        <w:t xml:space="preserve">manufacturer mobile plant engine and fuel system specifications </w:t>
      </w:r>
    </w:p>
    <w:p w:rsidR="00000000" w:rsidRPr="003E4A7D" w:rsidP="003E4A7D">
      <w:pPr>
        <w:pStyle w:val="ListBullet"/>
      </w:pPr>
      <w:r w:rsidRPr="003E4A7D">
        <w:t>three different mobile plant machinery with engine and fuel system faults</w:t>
      </w:r>
    </w:p>
    <w:p w:rsidR="00000000" w:rsidRPr="003E4A7D" w:rsidP="003E4A7D">
      <w:pPr>
        <w:pStyle w:val="ListBullet"/>
      </w:pPr>
      <w:r w:rsidRPr="003E4A7D">
        <w:t xml:space="preserve">diagnostic equipment for mobile plant engine and fuel systems </w:t>
      </w:r>
    </w:p>
    <w:p w:rsidR="00000000" w:rsidRPr="003E4A7D" w:rsidP="003E4A7D">
      <w:pPr>
        <w:pStyle w:val="ListBullet"/>
      </w:pPr>
      <w:r w:rsidRPr="003E4A7D">
        <w:t>tools, equipment and materials appropriate for analys</w:t>
      </w:r>
      <w:r w:rsidRPr="003E4A7D">
        <w:t>ing and evaluating mobile plant engine and fuel systems.</w:t>
      </w:r>
    </w:p>
    <w:p w:rsidR="00000000" w:rsidRPr="003E4A7D" w:rsidP="003E4A7D">
      <w:pPr>
        <w:pStyle w:val="AllowPageBreak"/>
      </w:pPr>
    </w:p>
    <w:p w:rsidR="00000000" w:rsidRPr="003E4A7D" w:rsidP="003E4A7D">
      <w:pPr>
        <w:pStyle w:val="Heading1"/>
      </w:pPr>
      <w:bookmarkStart w:id="5" w:name="O_774014"/>
      <w:bookmarkEnd w:id="5"/>
      <w:r w:rsidRPr="003E4A7D">
        <w:t>Links</w:t>
      </w:r>
    </w:p>
    <w:p w:rsidR="00000000" w:rsidRPr="003E4A7D" w:rsidP="00717AEE">
      <w:pPr>
        <w:pStyle w:val="BodyText"/>
      </w:pPr>
      <w:r w:rsidRPr="003E4A7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3C75ED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3E4A7D" w:rsidP="00717AEE">
      <w:pPr>
        <w:pStyle w:val="BodyText"/>
      </w:pPr>
      <w:r w:rsidRPr="003E4A7D">
        <w:t>Companion Volume implementatio</w:t>
      </w:r>
      <w:r w:rsidRPr="003E4A7D">
        <w:t xml:space="preserve">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3C75ED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3E4A7D" w:rsidP="003E4A7D"/>
    <w:sectPr w:rsidSect="003E4A7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A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A7D" w:rsidRPr="00717AEE" w:rsidP="00717A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A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7AEE" w:rsidP="003E4A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17AEE" w:rsidP="003E4A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17AEE" w:rsidP="003E4A7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A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7AE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E4A7D" w:rsidRPr="00717AEE" w:rsidP="00717AE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A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7AEE" w:rsidRPr="002D2AF8" w:rsidP="003E4A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AURKTE001 Analyse and evaluate faults in mobile plant engine and fuel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November 2020</w:t>
    </w:r>
    <w:r>
      <w:fldChar w:fldCharType="end"/>
    </w:r>
  </w:p>
  <w:p w:rsidR="00717AEE" w:rsidP="003E4A7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4FEF8F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3ACF9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F60465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4A7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E4A7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E4A7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E4A7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E4A7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E4A7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E4A7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E4A7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E4A7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E4A7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E4A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4A7D"/>
  </w:style>
  <w:style w:type="character" w:customStyle="1" w:styleId="Heading1Char">
    <w:name w:val="Heading 1 Char"/>
    <w:basedOn w:val="DefaultParagraphFont"/>
    <w:link w:val="Heading1"/>
    <w:rsid w:val="003E4A7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E4A7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E4A7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E4A7D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E4A7D"/>
    <w:rPr>
      <w:b/>
      <w:spacing w:val="0"/>
    </w:rPr>
  </w:style>
  <w:style w:type="paragraph" w:styleId="ListBullet2">
    <w:name w:val="List Bullet 2"/>
    <w:basedOn w:val="List2"/>
    <w:rsid w:val="003E4A7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E4A7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E4A7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E4A7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E4A7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E4A7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E4A7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E4A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E4A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E4A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E4A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E4A7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E4A7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E4A7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E4A7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E4A7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E4A7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E4A7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E4A7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E4A7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E4A7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E4A7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E4A7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E4A7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E4A7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E4A7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E4A7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E4A7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E4A7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E4A7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E4A7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E4A7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E4A7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E4A7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E4A7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E4A7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E4A7D"/>
    <w:rPr>
      <w:i/>
    </w:rPr>
  </w:style>
  <w:style w:type="paragraph" w:styleId="Caption">
    <w:name w:val="caption"/>
    <w:basedOn w:val="BodyText"/>
    <w:next w:val="Normal"/>
    <w:qFormat/>
    <w:rsid w:val="003E4A7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E4A7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E4A7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E4A7D"/>
  </w:style>
  <w:style w:type="paragraph" w:styleId="TableofFigures">
    <w:name w:val="table of figures"/>
    <w:basedOn w:val="Normal"/>
    <w:next w:val="Normal"/>
    <w:semiHidden/>
    <w:rsid w:val="003E4A7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E4A7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E4A7D"/>
    <w:rPr>
      <w:rFonts w:ascii="Wingdings" w:hAnsi="Wingdings"/>
    </w:rPr>
  </w:style>
  <w:style w:type="paragraph" w:customStyle="1" w:styleId="TableHeading">
    <w:name w:val="Table Heading"/>
    <w:basedOn w:val="HeadingBase"/>
    <w:rsid w:val="003E4A7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E4A7D"/>
    <w:rPr>
      <w:color w:val="0033CC"/>
      <w:u w:val="none"/>
    </w:rPr>
  </w:style>
  <w:style w:type="paragraph" w:customStyle="1" w:styleId="BodyTextRight">
    <w:name w:val="Body Text Right"/>
    <w:basedOn w:val="BodyText"/>
    <w:rsid w:val="003E4A7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E4A7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E4A7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E4A7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E4A7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E4A7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E4A7D"/>
    <w:rPr>
      <w:sz w:val="32"/>
    </w:rPr>
  </w:style>
  <w:style w:type="paragraph" w:customStyle="1" w:styleId="HeadingProcedure">
    <w:name w:val="Heading Procedure"/>
    <w:basedOn w:val="HeadingBase"/>
    <w:next w:val="Normal"/>
    <w:rsid w:val="003E4A7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E4A7D"/>
    <w:pPr>
      <w:spacing w:before="60" w:after="60"/>
    </w:pPr>
  </w:style>
  <w:style w:type="paragraph" w:styleId="ListContinue">
    <w:name w:val="List Continue"/>
    <w:basedOn w:val="List"/>
    <w:rsid w:val="003E4A7D"/>
    <w:pPr>
      <w:ind w:firstLine="0"/>
    </w:pPr>
  </w:style>
  <w:style w:type="paragraph" w:customStyle="1" w:styleId="ListNote">
    <w:name w:val="List Note"/>
    <w:basedOn w:val="List"/>
    <w:rsid w:val="003E4A7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E4A7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E4A7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E4A7D"/>
    <w:rPr>
      <w:rFonts w:ascii="Courier New" w:hAnsi="Courier New"/>
    </w:rPr>
  </w:style>
  <w:style w:type="paragraph" w:customStyle="1" w:styleId="NoteBullet">
    <w:name w:val="Note Bullet"/>
    <w:basedOn w:val="Note"/>
    <w:rsid w:val="003E4A7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E4A7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E4A7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E4A7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E4A7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E4A7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E4A7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E4A7D"/>
    <w:rPr>
      <w:b/>
      <w:smallCaps/>
    </w:rPr>
  </w:style>
  <w:style w:type="paragraph" w:customStyle="1" w:styleId="TableListNumber">
    <w:name w:val="Table List Number"/>
    <w:basedOn w:val="ListNumber"/>
    <w:rsid w:val="003E4A7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E4A7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E4A7D"/>
    <w:pPr>
      <w:numPr>
        <w:numId w:val="10"/>
      </w:numPr>
    </w:pPr>
  </w:style>
  <w:style w:type="paragraph" w:customStyle="1" w:styleId="ListAlpha2">
    <w:name w:val="List Alpha 2"/>
    <w:basedOn w:val="List2"/>
    <w:rsid w:val="003E4A7D"/>
    <w:pPr>
      <w:numPr>
        <w:numId w:val="9"/>
      </w:numPr>
    </w:pPr>
  </w:style>
  <w:style w:type="paragraph" w:styleId="List2">
    <w:name w:val="List 2"/>
    <w:basedOn w:val="BodyText"/>
    <w:rsid w:val="003E4A7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E4A7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E4A7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E4A7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E4A7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E4A7D"/>
    <w:pPr>
      <w:numPr>
        <w:numId w:val="5"/>
      </w:numPr>
    </w:pPr>
  </w:style>
  <w:style w:type="paragraph" w:styleId="ListContinue2">
    <w:name w:val="List Continue 2"/>
    <w:basedOn w:val="List2"/>
    <w:rsid w:val="003E4A7D"/>
    <w:pPr>
      <w:ind w:firstLine="0"/>
    </w:pPr>
  </w:style>
  <w:style w:type="paragraph" w:styleId="ListContinue3">
    <w:name w:val="List Continue 3"/>
    <w:basedOn w:val="List3"/>
    <w:rsid w:val="003E4A7D"/>
    <w:pPr>
      <w:ind w:left="1021" w:firstLine="0"/>
    </w:pPr>
  </w:style>
  <w:style w:type="paragraph" w:styleId="ListContinue4">
    <w:name w:val="List Continue 4"/>
    <w:basedOn w:val="List4"/>
    <w:rsid w:val="003E4A7D"/>
    <w:pPr>
      <w:ind w:firstLine="0"/>
    </w:pPr>
  </w:style>
  <w:style w:type="paragraph" w:styleId="ListContinue5">
    <w:name w:val="List Continue 5"/>
    <w:basedOn w:val="List5"/>
    <w:rsid w:val="003E4A7D"/>
    <w:pPr>
      <w:ind w:firstLine="0"/>
    </w:pPr>
  </w:style>
  <w:style w:type="paragraph" w:styleId="ListNumber3">
    <w:name w:val="List Number 3"/>
    <w:basedOn w:val="List3"/>
    <w:rsid w:val="003E4A7D"/>
    <w:pPr>
      <w:numPr>
        <w:numId w:val="6"/>
      </w:numPr>
    </w:pPr>
  </w:style>
  <w:style w:type="paragraph" w:styleId="ListNumber4">
    <w:name w:val="List Number 4"/>
    <w:basedOn w:val="List4"/>
    <w:rsid w:val="003E4A7D"/>
    <w:pPr>
      <w:numPr>
        <w:numId w:val="7"/>
      </w:numPr>
    </w:pPr>
  </w:style>
  <w:style w:type="paragraph" w:styleId="ListNumber5">
    <w:name w:val="List Number 5"/>
    <w:basedOn w:val="List5"/>
    <w:rsid w:val="003E4A7D"/>
    <w:pPr>
      <w:numPr>
        <w:numId w:val="8"/>
      </w:numPr>
    </w:pPr>
  </w:style>
  <w:style w:type="paragraph" w:styleId="BlockText">
    <w:name w:val="Block Text"/>
    <w:basedOn w:val="Normal"/>
    <w:rsid w:val="003E4A7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E4A7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E4A7D"/>
    <w:rPr>
      <w:sz w:val="16"/>
      <w:vertAlign w:val="superscript"/>
    </w:rPr>
  </w:style>
  <w:style w:type="character" w:customStyle="1" w:styleId="Symbols">
    <w:name w:val="Symbols"/>
    <w:basedOn w:val="DefaultParagraphFont"/>
    <w:rsid w:val="003E4A7D"/>
    <w:rPr>
      <w:rFonts w:ascii="Symbol" w:hAnsi="Symbol"/>
    </w:rPr>
  </w:style>
  <w:style w:type="character" w:customStyle="1" w:styleId="MenuOptions">
    <w:name w:val="Menu Options"/>
    <w:basedOn w:val="DefaultParagraphFont"/>
    <w:rsid w:val="003E4A7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E4A7D"/>
    <w:rPr>
      <w:b/>
    </w:rPr>
  </w:style>
  <w:style w:type="character" w:customStyle="1" w:styleId="Underlined">
    <w:name w:val="Underlined"/>
    <w:basedOn w:val="DefaultParagraphFont"/>
    <w:rsid w:val="003E4A7D"/>
    <w:rPr>
      <w:u w:val="single"/>
    </w:rPr>
  </w:style>
  <w:style w:type="paragraph" w:customStyle="1" w:styleId="TableBodyTextRight">
    <w:name w:val="Table Body Text Right"/>
    <w:basedOn w:val="TableBodyText"/>
    <w:rsid w:val="003E4A7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E4A7D"/>
    <w:rPr>
      <w:sz w:val="18"/>
    </w:rPr>
  </w:style>
  <w:style w:type="paragraph" w:customStyle="1" w:styleId="BodySmallRight">
    <w:name w:val="Body Small Right"/>
    <w:basedOn w:val="BodyTextRight"/>
    <w:rsid w:val="003E4A7D"/>
    <w:rPr>
      <w:sz w:val="18"/>
      <w:szCs w:val="18"/>
    </w:rPr>
  </w:style>
  <w:style w:type="paragraph" w:customStyle="1" w:styleId="MarginEdition">
    <w:name w:val="Margin Edition"/>
    <w:basedOn w:val="MarginNote"/>
    <w:rsid w:val="003E4A7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E4A7D"/>
    <w:rPr>
      <w:sz w:val="2"/>
      <w:szCs w:val="2"/>
    </w:rPr>
  </w:style>
  <w:style w:type="character" w:customStyle="1" w:styleId="Small">
    <w:name w:val="Small"/>
    <w:basedOn w:val="DefaultParagraphFont"/>
    <w:rsid w:val="003E4A7D"/>
    <w:rPr>
      <w:sz w:val="16"/>
    </w:rPr>
  </w:style>
  <w:style w:type="paragraph" w:customStyle="1" w:styleId="WideTable">
    <w:name w:val="Wide Table"/>
    <w:basedOn w:val="Normal"/>
    <w:rsid w:val="003E4A7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E4A7D"/>
  </w:style>
  <w:style w:type="paragraph" w:styleId="Quote">
    <w:name w:val="Quote"/>
    <w:basedOn w:val="Heading1"/>
    <w:link w:val="QuoteChar"/>
    <w:qFormat/>
    <w:rsid w:val="003E4A7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E4A7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E4A7D"/>
    <w:pPr>
      <w:pageBreakBefore/>
    </w:pPr>
  </w:style>
  <w:style w:type="paragraph" w:customStyle="1" w:styleId="Border">
    <w:name w:val="Border"/>
    <w:basedOn w:val="Normal"/>
    <w:qFormat/>
    <w:rsid w:val="003E4A7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E4A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4A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4A7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E4A7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E4A7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E4A7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E4A7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E4A7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E4A7D"/>
    <w:rPr>
      <w:u w:val="single"/>
    </w:rPr>
  </w:style>
  <w:style w:type="character" w:customStyle="1" w:styleId="BoldandItalics">
    <w:name w:val="Bold and Italics"/>
    <w:qFormat/>
    <w:rsid w:val="003E4A7D"/>
    <w:rPr>
      <w:b/>
      <w:i/>
      <w:u w:val="none"/>
    </w:rPr>
  </w:style>
  <w:style w:type="paragraph" w:styleId="BalloonText">
    <w:name w:val="Balloon Text"/>
    <w:basedOn w:val="Normal"/>
    <w:link w:val="BalloonTextChar"/>
    <w:rsid w:val="003E4A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4A7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E4A7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E4A7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E4A7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E4A7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E4A7D"/>
    <w:pPr>
      <w:spacing w:before="0" w:after="0"/>
    </w:pPr>
  </w:style>
  <w:style w:type="paragraph" w:customStyle="1" w:styleId="BodyTextBold">
    <w:name w:val="Body Text Bold"/>
    <w:basedOn w:val="BodyText"/>
    <w:qFormat/>
    <w:rsid w:val="003E4A7D"/>
    <w:rPr>
      <w:b/>
    </w:rPr>
  </w:style>
  <w:style w:type="character" w:styleId="Hyperlink">
    <w:name w:val="Hyperlink"/>
    <w:basedOn w:val="DefaultParagraphFont"/>
    <w:uiPriority w:val="99"/>
    <w:unhideWhenUsed/>
    <w:rsid w:val="00717AE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558</Words>
  <Characters>3694</Characters>
  <Application>Microsoft Office Word</Application>
  <DocSecurity>0</DocSecurity>
  <Lines>99</Lines>
  <Paragraphs>75</Paragraphs>
  <ScaleCrop>false</ScaleCrop>
  <Company>Author-it Software Corporation Ltd.</Company>
  <LinksUpToDate>false</LinksUpToDate>
  <CharactersWithSpaces>4177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AURKTE001 Analyse and evaluate faults in mobile plant engine and fuel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2020-11-13T05:08:00Z</dcterms:created>
  <dcterms:modified xsi:type="dcterms:W3CDTF">2020-11-13T05:08:00Z</dcterms:modified>
</cp:coreProperties>
</file>