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4CE" w:rsidP="00A14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AURJTR001 Analyse and evaluate faults in motorcycle electrical and electronic systems</w:t>
      </w:r>
      <w:r>
        <w:fldChar w:fldCharType="end"/>
      </w:r>
    </w:p>
    <w:p w:rsidR="00A144CE" w:rsidP="00A144CE">
      <w:pPr>
        <w:pStyle w:val="Version"/>
        <w:sectPr w:rsidSect="00EE2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53B" w:rsidP="00EE253B">
      <w:pPr>
        <w:pStyle w:val="SuperHeading"/>
      </w:pPr>
      <w:r w:rsidRPr="00EE253B">
        <w:t>Assessment Requirements for AURJTR001 Analyse and evaluate faults in motorcycle electrical and electronic systems</w:t>
      </w:r>
    </w:p>
    <w:p w:rsidR="00000000" w:rsidRPr="00EE253B" w:rsidP="00EE253B">
      <w:pPr>
        <w:pStyle w:val="Heading1"/>
      </w:pPr>
      <w:bookmarkStart w:id="1" w:name="O_772830"/>
      <w:bookmarkEnd w:id="1"/>
      <w:r w:rsidRPr="00EE253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144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53B" w:rsidP="00EE253B">
            <w:pPr>
              <w:pStyle w:val="BodyText"/>
            </w:pPr>
            <w:r w:rsidRPr="00EE253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53B">
            <w:pPr>
              <w:pStyle w:val="BodyText"/>
              <w:rPr>
                <w:lang w:val="en-NZ"/>
              </w:rPr>
            </w:pPr>
            <w:r w:rsidRPr="00EE253B">
              <w:rPr>
                <w:rStyle w:val="SpecialBold"/>
              </w:rPr>
              <w:t>Comment</w:t>
            </w:r>
          </w:p>
        </w:tc>
      </w:tr>
      <w:tr w:rsidTr="00A144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53B">
            <w:pPr>
              <w:pStyle w:val="BodyText"/>
              <w:rPr>
                <w:lang w:val="en-NZ"/>
              </w:rPr>
            </w:pPr>
            <w:r w:rsidRPr="00EE253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53B" w:rsidP="00EE253B">
            <w:pPr>
              <w:pStyle w:val="BodyText"/>
            </w:pPr>
            <w:r w:rsidRPr="00EE253B">
              <w:t>New unit of competency.</w:t>
            </w:r>
          </w:p>
        </w:tc>
      </w:tr>
    </w:tbl>
    <w:p w:rsidR="00000000" w:rsidRPr="00EE253B" w:rsidP="00EE253B">
      <w:pPr>
        <w:pStyle w:val="BodyText"/>
      </w:pPr>
    </w:p>
    <w:p w:rsidR="00000000" w:rsidRPr="00EE253B" w:rsidP="00EE253B">
      <w:pPr>
        <w:pStyle w:val="AllowPageBreak"/>
      </w:pPr>
    </w:p>
    <w:p w:rsidR="00000000" w:rsidRPr="00EE253B" w:rsidP="00EE253B">
      <w:pPr>
        <w:pStyle w:val="Heading1"/>
      </w:pPr>
      <w:bookmarkStart w:id="2" w:name="O_772831"/>
      <w:bookmarkEnd w:id="2"/>
      <w:r w:rsidRPr="00EE253B">
        <w:t>Performance Evidence</w:t>
      </w:r>
    </w:p>
    <w:p w:rsidR="00000000" w:rsidRPr="00EE253B" w:rsidP="00A144CE">
      <w:pPr>
        <w:pStyle w:val="BodyText"/>
      </w:pPr>
      <w:r w:rsidRPr="00EE253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E253B" w:rsidP="00EE253B">
      <w:pPr>
        <w:pStyle w:val="ListBullet"/>
      </w:pPr>
      <w:r w:rsidRPr="00EE253B">
        <w:t>analyse and evaluate a fault in:</w:t>
      </w:r>
    </w:p>
    <w:p w:rsidR="00000000" w:rsidRPr="00EE253B" w:rsidP="00EE253B">
      <w:pPr>
        <w:pStyle w:val="ListBullet2"/>
      </w:pPr>
      <w:r w:rsidRPr="00EE253B">
        <w:t>one single wire (non CAN-bus) networked circuit of a motorcycle</w:t>
      </w:r>
    </w:p>
    <w:p w:rsidR="00000000" w:rsidRPr="00EE253B" w:rsidP="00EE253B">
      <w:pPr>
        <w:pStyle w:val="ListBullet2"/>
      </w:pPr>
      <w:r w:rsidRPr="00EE253B">
        <w:t xml:space="preserve">one two-wire high and low speed (CAN-bus) networked system of a different motorcycle </w:t>
      </w:r>
    </w:p>
    <w:p w:rsidR="00000000" w:rsidRPr="00EE253B" w:rsidP="00EE253B">
      <w:pPr>
        <w:pStyle w:val="ListBullet2"/>
      </w:pPr>
      <w:r w:rsidRPr="00EE253B">
        <w:t>one non CAN-bus or one CAN-bus networked system of a third motorcycle.</w:t>
      </w:r>
    </w:p>
    <w:p w:rsidR="00000000" w:rsidRPr="00EE253B" w:rsidP="00EE253B">
      <w:pPr>
        <w:pStyle w:val="AllowPageBreak"/>
      </w:pPr>
    </w:p>
    <w:p w:rsidR="00000000" w:rsidRPr="00EE253B" w:rsidP="00EE253B">
      <w:pPr>
        <w:pStyle w:val="Heading1"/>
      </w:pPr>
      <w:bookmarkStart w:id="3" w:name="O_772832"/>
      <w:bookmarkEnd w:id="3"/>
      <w:r w:rsidRPr="00EE253B">
        <w:t>Knowledge Evidenc</w:t>
      </w:r>
      <w:r w:rsidRPr="00EE253B">
        <w:t>e</w:t>
      </w:r>
    </w:p>
    <w:p w:rsidR="00000000" w:rsidRPr="00EE253B" w:rsidP="00A144CE">
      <w:pPr>
        <w:pStyle w:val="BodyText"/>
      </w:pPr>
      <w:r w:rsidRPr="00EE253B">
        <w:t>Individuals must be able to demonstrate knowledge of:</w:t>
      </w:r>
    </w:p>
    <w:p w:rsidR="00000000" w:rsidRPr="00EE253B" w:rsidP="00EE253B">
      <w:pPr>
        <w:pStyle w:val="ListBullet"/>
      </w:pPr>
      <w:r w:rsidRPr="00EE253B">
        <w:t>work health and safety (WHS) and occupational health and safety (OHS) requirements relating to analysing and evaluating faults in motorcycle electrical and electronic systems, including procedures fo</w:t>
      </w:r>
      <w:r w:rsidRPr="00EE253B">
        <w:t>r:</w:t>
      </w:r>
    </w:p>
    <w:p w:rsidR="00000000" w:rsidRPr="00EE253B" w:rsidP="00EE253B">
      <w:pPr>
        <w:pStyle w:val="ListBullet2"/>
      </w:pPr>
      <w:r w:rsidRPr="00EE253B">
        <w:t>working with motorcycle ignition system high voltage</w:t>
      </w:r>
    </w:p>
    <w:p w:rsidR="00000000" w:rsidRPr="00EE253B" w:rsidP="00EE253B">
      <w:pPr>
        <w:pStyle w:val="ListBullet2"/>
      </w:pPr>
      <w:r w:rsidRPr="00EE253B">
        <w:t>identifying hazards and controlling risks associated with wearing jewellery while working around high current wiring systems</w:t>
      </w:r>
    </w:p>
    <w:p w:rsidR="00000000" w:rsidRPr="00EE253B" w:rsidP="00EE253B">
      <w:pPr>
        <w:pStyle w:val="ListBullet"/>
      </w:pPr>
      <w:r w:rsidRPr="00EE253B">
        <w:t>principles and processes involved in planning and implementing analysis a</w:t>
      </w:r>
      <w:r w:rsidRPr="00EE253B">
        <w:t>nd evaluation of motorcycle electrical and electronic system faults</w:t>
      </w:r>
    </w:p>
    <w:p w:rsidR="00000000" w:rsidRPr="00EE253B" w:rsidP="00EE253B">
      <w:pPr>
        <w:pStyle w:val="ListBullet"/>
      </w:pPr>
      <w:r w:rsidRPr="00EE253B">
        <w:t>design and planning of diagnostic procedures of motorcycle electrical and electronic system faults, including procedures for diagnosing:</w:t>
      </w:r>
    </w:p>
    <w:p w:rsidR="00000000" w:rsidRPr="00EE253B" w:rsidP="00EE253B">
      <w:pPr>
        <w:pStyle w:val="ListBullet2"/>
      </w:pPr>
      <w:r w:rsidRPr="00EE253B">
        <w:t>lighting</w:t>
      </w:r>
    </w:p>
    <w:p w:rsidR="00000000" w:rsidRPr="00EE253B" w:rsidP="00EE253B">
      <w:pPr>
        <w:pStyle w:val="ListBullet2"/>
      </w:pPr>
      <w:r w:rsidRPr="00EE253B">
        <w:t>charging</w:t>
      </w:r>
    </w:p>
    <w:p w:rsidR="00000000" w:rsidRPr="00EE253B" w:rsidP="00EE253B">
      <w:pPr>
        <w:pStyle w:val="ListBullet2"/>
      </w:pPr>
      <w:r w:rsidRPr="00EE253B">
        <w:t>starting</w:t>
      </w:r>
    </w:p>
    <w:p w:rsidR="00000000" w:rsidRPr="00EE253B" w:rsidP="00EE253B">
      <w:pPr>
        <w:pStyle w:val="ListBullet2"/>
      </w:pPr>
      <w:r w:rsidRPr="00EE253B">
        <w:t>ignition</w:t>
      </w:r>
    </w:p>
    <w:p w:rsidR="00000000" w:rsidRPr="00EE253B" w:rsidP="00EE253B">
      <w:pPr>
        <w:pStyle w:val="ListBullet2"/>
      </w:pPr>
      <w:r w:rsidRPr="00EE253B">
        <w:t>immobiliser</w:t>
      </w:r>
    </w:p>
    <w:p w:rsidR="00000000" w:rsidRPr="00EE253B" w:rsidP="00EE253B">
      <w:pPr>
        <w:pStyle w:val="ListBullet2"/>
      </w:pPr>
      <w:r w:rsidRPr="00EE253B">
        <w:t>fuel injection</w:t>
      </w:r>
    </w:p>
    <w:p w:rsidR="00000000" w:rsidRPr="00EE253B" w:rsidP="00EE253B">
      <w:pPr>
        <w:pStyle w:val="ListBullet2"/>
      </w:pPr>
      <w:r w:rsidRPr="00EE253B">
        <w:t>engine management</w:t>
      </w:r>
    </w:p>
    <w:p w:rsidR="00000000" w:rsidRPr="00EE253B" w:rsidP="00EE253B">
      <w:pPr>
        <w:pStyle w:val="ListBullet2"/>
      </w:pPr>
      <w:r w:rsidRPr="00EE253B">
        <w:t>anti-lock braking (ABS)</w:t>
      </w:r>
    </w:p>
    <w:p w:rsidR="00000000" w:rsidRPr="00EE253B" w:rsidP="00EE253B">
      <w:pPr>
        <w:pStyle w:val="ListBullet"/>
      </w:pPr>
      <w:r w:rsidRPr="00EE253B">
        <w:t>procedures for analysing and evaluating motorcycle electrical and electronic system faults, including:</w:t>
      </w:r>
    </w:p>
    <w:p w:rsidR="00000000" w:rsidRPr="00EE253B" w:rsidP="00EE253B">
      <w:pPr>
        <w:pStyle w:val="ListBullet2"/>
      </w:pPr>
      <w:r w:rsidRPr="00EE253B">
        <w:t>system failure analysis</w:t>
      </w:r>
    </w:p>
    <w:p w:rsidR="00000000" w:rsidRPr="00EE253B" w:rsidP="00EE253B">
      <w:pPr>
        <w:pStyle w:val="ListBullet2"/>
      </w:pPr>
      <w:r w:rsidRPr="00EE253B">
        <w:t>component failure analysis</w:t>
      </w:r>
    </w:p>
    <w:p w:rsidR="00000000" w:rsidRPr="00EE253B" w:rsidP="00EE253B">
      <w:pPr>
        <w:pStyle w:val="ListBullet"/>
      </w:pPr>
      <w:r w:rsidRPr="00EE253B">
        <w:t>types, functions, operation and limitation</w:t>
      </w:r>
      <w:r w:rsidRPr="00EE253B">
        <w:t>s of motorcycle electrical and electronic systems, including:</w:t>
      </w:r>
    </w:p>
    <w:p w:rsidR="00000000" w:rsidRPr="00EE253B" w:rsidP="00EE253B">
      <w:pPr>
        <w:pStyle w:val="ListBullet2"/>
      </w:pPr>
      <w:r w:rsidRPr="00EE253B">
        <w:t>lighting</w:t>
      </w:r>
    </w:p>
    <w:p w:rsidR="00000000" w:rsidRPr="00EE253B" w:rsidP="00EE253B">
      <w:pPr>
        <w:pStyle w:val="ListBullet2"/>
      </w:pPr>
      <w:r w:rsidRPr="00EE253B">
        <w:t>charging</w:t>
      </w:r>
    </w:p>
    <w:p w:rsidR="00000000" w:rsidRPr="00EE253B" w:rsidP="00EE253B">
      <w:pPr>
        <w:pStyle w:val="ListBullet2"/>
      </w:pPr>
      <w:r w:rsidRPr="00EE253B">
        <w:t>starting</w:t>
      </w:r>
    </w:p>
    <w:p w:rsidR="00000000" w:rsidRPr="00EE253B" w:rsidP="00EE253B">
      <w:pPr>
        <w:pStyle w:val="ListBullet2"/>
      </w:pPr>
      <w:r w:rsidRPr="00EE253B">
        <w:t>ignition</w:t>
      </w:r>
    </w:p>
    <w:p w:rsidR="00000000" w:rsidRPr="00EE253B" w:rsidP="00EE253B">
      <w:pPr>
        <w:pStyle w:val="ListBullet2"/>
      </w:pPr>
      <w:r w:rsidRPr="00EE253B">
        <w:t>immobiliser</w:t>
      </w:r>
    </w:p>
    <w:p w:rsidR="00000000" w:rsidRPr="00EE253B" w:rsidP="00EE253B">
      <w:pPr>
        <w:pStyle w:val="ListBullet2"/>
      </w:pPr>
      <w:r w:rsidRPr="00EE253B">
        <w:t>fuel injection</w:t>
      </w:r>
    </w:p>
    <w:p w:rsidR="00000000" w:rsidRPr="00EE253B" w:rsidP="00EE253B">
      <w:pPr>
        <w:pStyle w:val="ListBullet2"/>
      </w:pPr>
      <w:r w:rsidRPr="00EE253B">
        <w:t>engine management</w:t>
      </w:r>
    </w:p>
    <w:p w:rsidR="00000000" w:rsidRPr="00EE253B" w:rsidP="00EE253B">
      <w:pPr>
        <w:pStyle w:val="ListBullet2"/>
      </w:pPr>
      <w:r w:rsidRPr="00EE253B">
        <w:t>ABS systems</w:t>
      </w:r>
    </w:p>
    <w:p w:rsidR="00000000" w:rsidRPr="00EE253B" w:rsidP="00EE253B">
      <w:pPr>
        <w:pStyle w:val="ListBullet"/>
      </w:pPr>
      <w:r w:rsidRPr="00EE253B">
        <w:t>testing procedures for motorcycle electrical and electronic systems, including the use of:</w:t>
      </w:r>
    </w:p>
    <w:p w:rsidR="00000000" w:rsidRPr="00EE253B" w:rsidP="00EE253B">
      <w:pPr>
        <w:pStyle w:val="ListBullet2"/>
      </w:pPr>
      <w:r w:rsidRPr="00EE253B">
        <w:t>multimeters</w:t>
      </w:r>
    </w:p>
    <w:p w:rsidR="00000000" w:rsidRPr="00EE253B" w:rsidP="00EE253B">
      <w:pPr>
        <w:pStyle w:val="ListBullet2"/>
      </w:pPr>
      <w:r w:rsidRPr="00EE253B">
        <w:t>diagnostic scan tools</w:t>
      </w:r>
    </w:p>
    <w:p w:rsidR="00000000" w:rsidRPr="00EE253B" w:rsidP="00EE253B">
      <w:pPr>
        <w:pStyle w:val="ListBullet"/>
      </w:pPr>
      <w:r w:rsidRPr="00EE253B">
        <w:t>types, functions, operation and limitations of diagnostic testing equipment required to analyse and evaluate faults in motorcycle electrical and electronic systems</w:t>
      </w:r>
    </w:p>
    <w:p w:rsidR="00000000" w:rsidRPr="00EE253B" w:rsidP="00EE253B">
      <w:pPr>
        <w:pStyle w:val="ListBullet"/>
      </w:pPr>
      <w:r w:rsidRPr="00EE253B">
        <w:t>procedures for documenting and reporting the system analy</w:t>
      </w:r>
      <w:r w:rsidRPr="00EE253B">
        <w:t xml:space="preserve">sis and evaluation process </w:t>
      </w:r>
    </w:p>
    <w:p w:rsidR="00000000" w:rsidRPr="00EE253B" w:rsidP="00EE253B">
      <w:pPr>
        <w:pStyle w:val="ListBullet"/>
      </w:pPr>
      <w:r w:rsidRPr="00EE253B">
        <w:t>requirements of Australian Design Rules (ADRs) relating to motorcycle electrical and electronic systems.</w:t>
      </w:r>
    </w:p>
    <w:p w:rsidR="00000000" w:rsidRPr="00EE253B" w:rsidP="00EE253B">
      <w:pPr>
        <w:pStyle w:val="AllowPageBreak"/>
      </w:pPr>
    </w:p>
    <w:p w:rsidR="00000000" w:rsidRPr="00EE253B" w:rsidP="00EE253B">
      <w:pPr>
        <w:pStyle w:val="Heading1"/>
      </w:pPr>
      <w:bookmarkStart w:id="4" w:name="O_772833"/>
      <w:bookmarkEnd w:id="4"/>
      <w:r w:rsidRPr="00EE253B">
        <w:t>Assessment Conditions</w:t>
      </w:r>
    </w:p>
    <w:p w:rsidR="00000000" w:rsidRPr="00EE253B" w:rsidP="00A144CE">
      <w:pPr>
        <w:pStyle w:val="BodyText"/>
      </w:pPr>
      <w:r w:rsidRPr="00EE253B">
        <w:t>Assessors must satisfy NVR/AQTF assessor requirements.</w:t>
      </w:r>
    </w:p>
    <w:p w:rsidR="00000000" w:rsidRPr="00EE253B" w:rsidP="00A144CE">
      <w:pPr>
        <w:pStyle w:val="BodyText"/>
      </w:pPr>
      <w:r w:rsidRPr="00EE253B">
        <w:t>Competency is to be assessed</w:t>
      </w:r>
      <w:r w:rsidRPr="00EE253B">
        <w:t xml:space="preserve"> in the workplace or a simulated environment that accurately reflects performance in a real workplace setting.</w:t>
      </w:r>
    </w:p>
    <w:p w:rsidR="00000000" w:rsidRPr="00EE253B" w:rsidP="00A144CE">
      <w:pPr>
        <w:pStyle w:val="BodyText"/>
      </w:pPr>
      <w:r w:rsidRPr="00EE253B">
        <w:t>Assessment must include direct observation of tasks.</w:t>
      </w:r>
    </w:p>
    <w:p w:rsidR="00000000" w:rsidRPr="00EE253B" w:rsidP="00A144CE">
      <w:pPr>
        <w:pStyle w:val="BodyText"/>
      </w:pPr>
      <w:r w:rsidRPr="00EE253B">
        <w:t>Where assessment of competency includes third-party evidence, individuals must provid</w:t>
      </w:r>
      <w:r w:rsidRPr="00EE253B">
        <w:t>e evidence that links them to the motorcycle electrical and electronic systems that they have worked on, e.g. repair orders.</w:t>
      </w:r>
    </w:p>
    <w:p w:rsidR="00000000" w:rsidRPr="00EE253B" w:rsidP="00A144CE">
      <w:pPr>
        <w:pStyle w:val="BodyText"/>
      </w:pPr>
      <w:r w:rsidRPr="00EE253B">
        <w:t>Assessors must verify performance evidence through questioning on skills and knowledge to ensure correct interpretation and applic</w:t>
      </w:r>
      <w:r w:rsidRPr="00EE253B">
        <w:t>ation.</w:t>
      </w:r>
    </w:p>
    <w:p w:rsidR="00000000" w:rsidRPr="00EE253B" w:rsidP="00A144CE">
      <w:pPr>
        <w:pStyle w:val="BodyText"/>
      </w:pPr>
      <w:r w:rsidRPr="00EE253B">
        <w:t>The following resources must be made available:</w:t>
      </w:r>
    </w:p>
    <w:p w:rsidR="00000000" w:rsidRPr="00EE253B" w:rsidP="00EE253B">
      <w:pPr>
        <w:pStyle w:val="ListBullet"/>
      </w:pPr>
      <w:r w:rsidRPr="00EE253B">
        <w:t>automotive repair workplace or simulated workplace</w:t>
      </w:r>
    </w:p>
    <w:p w:rsidR="00000000" w:rsidRPr="00EE253B" w:rsidP="00EE253B">
      <w:pPr>
        <w:pStyle w:val="ListBullet"/>
      </w:pPr>
      <w:r w:rsidRPr="00EE253B">
        <w:t>workplace instructions</w:t>
      </w:r>
    </w:p>
    <w:p w:rsidR="00000000" w:rsidRPr="00EE253B" w:rsidP="00EE253B">
      <w:pPr>
        <w:pStyle w:val="ListBullet"/>
      </w:pPr>
      <w:r w:rsidRPr="00EE253B">
        <w:t>manufacturer motorcycle electrical and electronic system specifications</w:t>
      </w:r>
    </w:p>
    <w:p w:rsidR="00000000" w:rsidRPr="00EE253B" w:rsidP="00EE253B">
      <w:pPr>
        <w:pStyle w:val="ListBullet"/>
      </w:pPr>
      <w:r w:rsidRPr="00EE253B">
        <w:t>three different motorcycles with faults in the electr</w:t>
      </w:r>
      <w:r w:rsidRPr="00EE253B">
        <w:t>ical and electronic systems specified in the performance evidence</w:t>
      </w:r>
    </w:p>
    <w:p w:rsidR="00000000" w:rsidRPr="00EE253B" w:rsidP="00EE253B">
      <w:pPr>
        <w:pStyle w:val="ListBullet"/>
      </w:pPr>
      <w:r w:rsidRPr="00EE253B">
        <w:t xml:space="preserve">diagnostic equipment for motorcycle electrical and electronic systems </w:t>
      </w:r>
    </w:p>
    <w:p w:rsidR="00000000" w:rsidRPr="00EE253B" w:rsidP="00EE253B">
      <w:pPr>
        <w:pStyle w:val="ListBullet"/>
      </w:pPr>
      <w:r w:rsidRPr="00EE253B">
        <w:t>tools, equipment and materials appropriate for analysing and evaluating motorcycle electrical and electronic systems.</w:t>
      </w:r>
    </w:p>
    <w:p w:rsidR="00000000" w:rsidRPr="00EE253B" w:rsidP="00EE253B">
      <w:pPr>
        <w:pStyle w:val="AllowPageBreak"/>
      </w:pPr>
    </w:p>
    <w:p w:rsidR="00000000" w:rsidRPr="00EE253B" w:rsidP="00EE253B">
      <w:pPr>
        <w:pStyle w:val="Heading1"/>
      </w:pPr>
      <w:bookmarkStart w:id="5" w:name="O_772836"/>
      <w:bookmarkEnd w:id="5"/>
      <w:r w:rsidRPr="00EE253B">
        <w:t>Links</w:t>
      </w:r>
    </w:p>
    <w:p w:rsidR="00000000" w:rsidRPr="00EE253B" w:rsidP="00A144CE">
      <w:pPr>
        <w:pStyle w:val="BodyText"/>
      </w:pPr>
      <w:r w:rsidRPr="00EE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328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E253B" w:rsidP="00A144CE">
      <w:pPr>
        <w:pStyle w:val="BodyText"/>
      </w:pPr>
      <w:r w:rsidRPr="00EE2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328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E253B" w:rsidP="00EE253B"/>
    <w:sectPr w:rsidSect="00EE25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3B" w:rsidRPr="00A144CE" w:rsidP="00A14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CE" w:rsidP="00EE2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4CE" w:rsidP="00EE2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44CE" w:rsidP="00EE2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53B" w:rsidRPr="00A144CE" w:rsidP="00A14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CE" w:rsidRPr="002D2AF8" w:rsidP="00EE2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AURJTR001 Analyse and evaluate faults in motorcycle electrical and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A144CE" w:rsidP="00EE2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6C5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669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A4C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53B"/>
  </w:style>
  <w:style w:type="character" w:customStyle="1" w:styleId="Heading1Char">
    <w:name w:val="Heading 1 Char"/>
    <w:basedOn w:val="DefaultParagraphFont"/>
    <w:link w:val="Heading1"/>
    <w:rsid w:val="00EE2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5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53B"/>
    <w:rPr>
      <w:b/>
      <w:spacing w:val="0"/>
    </w:rPr>
  </w:style>
  <w:style w:type="paragraph" w:styleId="ListBullet2">
    <w:name w:val="List Bullet 2"/>
    <w:basedOn w:val="List2"/>
    <w:rsid w:val="00EE25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53B"/>
    <w:rPr>
      <w:i/>
    </w:rPr>
  </w:style>
  <w:style w:type="paragraph" w:styleId="Caption">
    <w:name w:val="caption"/>
    <w:basedOn w:val="BodyText"/>
    <w:next w:val="Normal"/>
    <w:qFormat/>
    <w:rsid w:val="00EE2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53B"/>
  </w:style>
  <w:style w:type="paragraph" w:styleId="TableofFigures">
    <w:name w:val="table of figures"/>
    <w:basedOn w:val="Normal"/>
    <w:next w:val="Normal"/>
    <w:semiHidden/>
    <w:rsid w:val="00EE2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253B"/>
    <w:rPr>
      <w:rFonts w:ascii="Wingdings" w:hAnsi="Wingdings"/>
    </w:rPr>
  </w:style>
  <w:style w:type="paragraph" w:customStyle="1" w:styleId="TableHeading">
    <w:name w:val="Table Heading"/>
    <w:basedOn w:val="HeadingBase"/>
    <w:rsid w:val="00EE2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53B"/>
    <w:rPr>
      <w:color w:val="0033CC"/>
      <w:u w:val="none"/>
    </w:rPr>
  </w:style>
  <w:style w:type="paragraph" w:customStyle="1" w:styleId="BodyTextRight">
    <w:name w:val="Body Text Right"/>
    <w:basedOn w:val="BodyText"/>
    <w:rsid w:val="00EE2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53B"/>
    <w:rPr>
      <w:sz w:val="32"/>
    </w:rPr>
  </w:style>
  <w:style w:type="paragraph" w:customStyle="1" w:styleId="HeadingProcedure">
    <w:name w:val="Heading Procedure"/>
    <w:basedOn w:val="HeadingBase"/>
    <w:next w:val="Normal"/>
    <w:rsid w:val="00EE2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53B"/>
    <w:pPr>
      <w:spacing w:before="60" w:after="60"/>
    </w:pPr>
  </w:style>
  <w:style w:type="paragraph" w:styleId="ListContinue">
    <w:name w:val="List Continue"/>
    <w:basedOn w:val="List"/>
    <w:rsid w:val="00EE253B"/>
    <w:pPr>
      <w:ind w:firstLine="0"/>
    </w:pPr>
  </w:style>
  <w:style w:type="paragraph" w:customStyle="1" w:styleId="ListNote">
    <w:name w:val="List Note"/>
    <w:basedOn w:val="List"/>
    <w:rsid w:val="00EE2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53B"/>
    <w:rPr>
      <w:rFonts w:ascii="Courier New" w:hAnsi="Courier New"/>
    </w:rPr>
  </w:style>
  <w:style w:type="paragraph" w:customStyle="1" w:styleId="NoteBullet">
    <w:name w:val="Note Bullet"/>
    <w:basedOn w:val="Note"/>
    <w:rsid w:val="00EE2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2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53B"/>
    <w:rPr>
      <w:b/>
      <w:smallCaps/>
    </w:rPr>
  </w:style>
  <w:style w:type="paragraph" w:customStyle="1" w:styleId="TableListNumber">
    <w:name w:val="Table List Number"/>
    <w:basedOn w:val="ListNumber"/>
    <w:rsid w:val="00EE2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53B"/>
    <w:pPr>
      <w:numPr>
        <w:numId w:val="9"/>
      </w:numPr>
    </w:pPr>
  </w:style>
  <w:style w:type="paragraph" w:customStyle="1" w:styleId="ListAlpha2">
    <w:name w:val="List Alpha 2"/>
    <w:basedOn w:val="List2"/>
    <w:rsid w:val="00EE253B"/>
    <w:pPr>
      <w:numPr>
        <w:numId w:val="8"/>
      </w:numPr>
    </w:pPr>
  </w:style>
  <w:style w:type="paragraph" w:styleId="List2">
    <w:name w:val="List 2"/>
    <w:basedOn w:val="BodyText"/>
    <w:rsid w:val="00EE2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53B"/>
    <w:pPr>
      <w:numPr>
        <w:numId w:val="4"/>
      </w:numPr>
    </w:pPr>
  </w:style>
  <w:style w:type="paragraph" w:styleId="ListContinue2">
    <w:name w:val="List Continue 2"/>
    <w:basedOn w:val="List2"/>
    <w:rsid w:val="00EE253B"/>
    <w:pPr>
      <w:ind w:firstLine="0"/>
    </w:pPr>
  </w:style>
  <w:style w:type="paragraph" w:styleId="ListContinue3">
    <w:name w:val="List Continue 3"/>
    <w:basedOn w:val="List3"/>
    <w:rsid w:val="00EE253B"/>
    <w:pPr>
      <w:ind w:left="1021" w:firstLine="0"/>
    </w:pPr>
  </w:style>
  <w:style w:type="paragraph" w:styleId="ListContinue4">
    <w:name w:val="List Continue 4"/>
    <w:basedOn w:val="List4"/>
    <w:rsid w:val="00EE253B"/>
    <w:pPr>
      <w:ind w:firstLine="0"/>
    </w:pPr>
  </w:style>
  <w:style w:type="paragraph" w:styleId="ListContinue5">
    <w:name w:val="List Continue 5"/>
    <w:basedOn w:val="List5"/>
    <w:rsid w:val="00EE253B"/>
    <w:pPr>
      <w:ind w:firstLine="0"/>
    </w:pPr>
  </w:style>
  <w:style w:type="paragraph" w:styleId="ListNumber3">
    <w:name w:val="List Number 3"/>
    <w:basedOn w:val="List3"/>
    <w:rsid w:val="00EE253B"/>
    <w:pPr>
      <w:numPr>
        <w:numId w:val="5"/>
      </w:numPr>
    </w:pPr>
  </w:style>
  <w:style w:type="paragraph" w:styleId="ListNumber4">
    <w:name w:val="List Number 4"/>
    <w:basedOn w:val="List4"/>
    <w:rsid w:val="00EE253B"/>
    <w:pPr>
      <w:numPr>
        <w:numId w:val="6"/>
      </w:numPr>
    </w:pPr>
  </w:style>
  <w:style w:type="paragraph" w:styleId="ListNumber5">
    <w:name w:val="List Number 5"/>
    <w:basedOn w:val="List5"/>
    <w:rsid w:val="00EE253B"/>
    <w:pPr>
      <w:numPr>
        <w:numId w:val="7"/>
      </w:numPr>
    </w:pPr>
  </w:style>
  <w:style w:type="paragraph" w:styleId="BlockText">
    <w:name w:val="Block Text"/>
    <w:basedOn w:val="Normal"/>
    <w:rsid w:val="00EE2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53B"/>
    <w:rPr>
      <w:sz w:val="16"/>
      <w:vertAlign w:val="superscript"/>
    </w:rPr>
  </w:style>
  <w:style w:type="character" w:customStyle="1" w:styleId="Symbols">
    <w:name w:val="Symbols"/>
    <w:basedOn w:val="DefaultParagraphFont"/>
    <w:rsid w:val="00EE253B"/>
    <w:rPr>
      <w:rFonts w:ascii="Symbol" w:hAnsi="Symbol"/>
    </w:rPr>
  </w:style>
  <w:style w:type="character" w:customStyle="1" w:styleId="MenuOptions">
    <w:name w:val="Menu Options"/>
    <w:basedOn w:val="DefaultParagraphFont"/>
    <w:rsid w:val="00EE2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53B"/>
    <w:rPr>
      <w:b/>
    </w:rPr>
  </w:style>
  <w:style w:type="character" w:customStyle="1" w:styleId="Underlined">
    <w:name w:val="Underlined"/>
    <w:basedOn w:val="DefaultParagraphFont"/>
    <w:rsid w:val="00EE253B"/>
    <w:rPr>
      <w:u w:val="single"/>
    </w:rPr>
  </w:style>
  <w:style w:type="paragraph" w:customStyle="1" w:styleId="TableBodyTextRight">
    <w:name w:val="Table Body Text Right"/>
    <w:basedOn w:val="TableBodyText"/>
    <w:rsid w:val="00EE2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53B"/>
    <w:rPr>
      <w:sz w:val="18"/>
    </w:rPr>
  </w:style>
  <w:style w:type="paragraph" w:customStyle="1" w:styleId="BodySmallRight">
    <w:name w:val="Body Small Right"/>
    <w:basedOn w:val="BodyTextRight"/>
    <w:rsid w:val="00EE253B"/>
    <w:rPr>
      <w:sz w:val="18"/>
      <w:szCs w:val="18"/>
    </w:rPr>
  </w:style>
  <w:style w:type="paragraph" w:customStyle="1" w:styleId="MarginEdition">
    <w:name w:val="Margin Edition"/>
    <w:basedOn w:val="MarginNote"/>
    <w:rsid w:val="00EE2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53B"/>
    <w:rPr>
      <w:sz w:val="2"/>
      <w:szCs w:val="2"/>
    </w:rPr>
  </w:style>
  <w:style w:type="character" w:customStyle="1" w:styleId="Small">
    <w:name w:val="Small"/>
    <w:basedOn w:val="DefaultParagraphFont"/>
    <w:rsid w:val="00EE253B"/>
    <w:rPr>
      <w:sz w:val="16"/>
    </w:rPr>
  </w:style>
  <w:style w:type="paragraph" w:customStyle="1" w:styleId="WideTable">
    <w:name w:val="Wide Table"/>
    <w:basedOn w:val="Normal"/>
    <w:rsid w:val="00EE2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53B"/>
  </w:style>
  <w:style w:type="paragraph" w:styleId="Quote">
    <w:name w:val="Quote"/>
    <w:basedOn w:val="Heading1"/>
    <w:link w:val="QuoteChar"/>
    <w:qFormat/>
    <w:rsid w:val="00EE2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53B"/>
    <w:pPr>
      <w:pageBreakBefore/>
    </w:pPr>
  </w:style>
  <w:style w:type="paragraph" w:customStyle="1" w:styleId="Border">
    <w:name w:val="Border"/>
    <w:basedOn w:val="Normal"/>
    <w:qFormat/>
    <w:rsid w:val="00EE2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53B"/>
    <w:rPr>
      <w:u w:val="single"/>
    </w:rPr>
  </w:style>
  <w:style w:type="character" w:customStyle="1" w:styleId="BoldandItalics">
    <w:name w:val="Bold and Italics"/>
    <w:qFormat/>
    <w:rsid w:val="00EE253B"/>
    <w:rPr>
      <w:b/>
      <w:i/>
      <w:u w:val="none"/>
    </w:rPr>
  </w:style>
  <w:style w:type="paragraph" w:styleId="BalloonText">
    <w:name w:val="Balloon Text"/>
    <w:basedOn w:val="Normal"/>
    <w:link w:val="BalloonTextChar"/>
    <w:rsid w:val="00EE2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53B"/>
    <w:pPr>
      <w:spacing w:before="0" w:after="0"/>
    </w:pPr>
  </w:style>
  <w:style w:type="paragraph" w:customStyle="1" w:styleId="BodyTextBold">
    <w:name w:val="Body Text Bold"/>
    <w:basedOn w:val="BodyText"/>
    <w:qFormat/>
    <w:rsid w:val="00EE253B"/>
    <w:rPr>
      <w:b/>
    </w:rPr>
  </w:style>
  <w:style w:type="character" w:styleId="Hyperlink">
    <w:name w:val="Hyperlink"/>
    <w:basedOn w:val="DefaultParagraphFont"/>
    <w:uiPriority w:val="99"/>
    <w:unhideWhenUsed/>
    <w:rsid w:val="00A14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3653</Characters>
  <Application>Microsoft Office Word</Application>
  <DocSecurity>0</DocSecurity>
  <Lines>104</Lines>
  <Paragraphs>75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AURJTR001 Analyse and evaluate faults in motorcycle electrical and electronic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2020-11-13T04:26:00Z</dcterms:created>
  <dcterms:modified xsi:type="dcterms:W3CDTF">2020-11-13T04:26:00Z</dcterms:modified>
</cp:coreProperties>
</file>