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DE2" w:rsidP="001F4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AURJTD005 Diagnose complex faults in motorcycle steering and suspension systems</w:t>
      </w:r>
      <w:r>
        <w:fldChar w:fldCharType="end"/>
      </w:r>
    </w:p>
    <w:p w:rsidR="001F4DE2" w:rsidP="001F4DE2">
      <w:pPr>
        <w:pStyle w:val="Version"/>
        <w:sectPr w:rsidSect="00C45D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DE4" w:rsidP="00C45DE4">
      <w:pPr>
        <w:pStyle w:val="SuperHeading"/>
      </w:pPr>
      <w:r w:rsidRPr="00C45DE4">
        <w:t>Assessment Requirements for AURJTD005 Diagnose complex faults in motorcycle steering and suspension systems</w:t>
      </w:r>
    </w:p>
    <w:p w:rsidR="00000000" w:rsidRPr="00C45DE4" w:rsidP="00C45DE4">
      <w:pPr>
        <w:pStyle w:val="Heading1"/>
      </w:pPr>
      <w:bookmarkStart w:id="1" w:name="O_772963"/>
      <w:bookmarkEnd w:id="1"/>
      <w:r w:rsidRPr="00C45DE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F4D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DE4" w:rsidP="00C45DE4">
            <w:pPr>
              <w:pStyle w:val="BodyText"/>
            </w:pPr>
            <w:r w:rsidRPr="00C45DE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E4">
            <w:pPr>
              <w:pStyle w:val="BodyText"/>
              <w:rPr>
                <w:lang w:val="en-NZ"/>
              </w:rPr>
            </w:pPr>
            <w:r w:rsidRPr="00C45DE4">
              <w:rPr>
                <w:rStyle w:val="SpecialBold"/>
              </w:rPr>
              <w:t>Comment</w:t>
            </w:r>
          </w:p>
        </w:tc>
      </w:tr>
      <w:tr w:rsidTr="001F4D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DE4">
            <w:pPr>
              <w:pStyle w:val="BodyText"/>
              <w:rPr>
                <w:lang w:val="en-NZ"/>
              </w:rPr>
            </w:pPr>
            <w:r w:rsidRPr="00C45DE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DE4" w:rsidP="00C45DE4">
            <w:pPr>
              <w:pStyle w:val="BodyText"/>
            </w:pPr>
            <w:r w:rsidRPr="00C45DE4">
              <w:t>New unit of competency.</w:t>
            </w:r>
          </w:p>
        </w:tc>
      </w:tr>
    </w:tbl>
    <w:p w:rsidR="00000000" w:rsidRPr="00C45DE4" w:rsidP="00C45DE4">
      <w:pPr>
        <w:pStyle w:val="BodyText"/>
      </w:pPr>
    </w:p>
    <w:p w:rsidR="00000000" w:rsidRPr="00C45DE4" w:rsidP="00C45DE4">
      <w:pPr>
        <w:pStyle w:val="AllowPageBreak"/>
      </w:pPr>
    </w:p>
    <w:p w:rsidR="00000000" w:rsidRPr="00C45DE4" w:rsidP="00C45DE4">
      <w:pPr>
        <w:pStyle w:val="Heading1"/>
      </w:pPr>
      <w:bookmarkStart w:id="2" w:name="O_772964"/>
      <w:bookmarkEnd w:id="2"/>
      <w:r w:rsidRPr="00C45DE4">
        <w:t>Performance Evidence</w:t>
      </w:r>
    </w:p>
    <w:p w:rsidR="00000000" w:rsidRPr="00C45DE4" w:rsidP="001F4DE2">
      <w:pPr>
        <w:pStyle w:val="BodyText"/>
      </w:pPr>
      <w:r w:rsidRPr="00C45DE4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45DE4" w:rsidP="00C45DE4">
      <w:pPr>
        <w:pStyle w:val="ListBullet"/>
      </w:pPr>
      <w:r w:rsidRPr="00C45DE4">
        <w:t>diagnose a complex fault in the:</w:t>
      </w:r>
    </w:p>
    <w:p w:rsidR="00000000" w:rsidRPr="00C45DE4" w:rsidP="00C45DE4">
      <w:pPr>
        <w:pStyle w:val="ListBullet2"/>
      </w:pPr>
      <w:r w:rsidRPr="00C45DE4">
        <w:t>steering system of a motorcycle</w:t>
      </w:r>
    </w:p>
    <w:p w:rsidR="00000000" w:rsidRPr="00C45DE4" w:rsidP="00C45DE4">
      <w:pPr>
        <w:pStyle w:val="ListBullet2"/>
      </w:pPr>
      <w:r w:rsidRPr="00C45DE4">
        <w:t>suspension system of a different motorcycle</w:t>
      </w:r>
    </w:p>
    <w:p w:rsidR="00000000" w:rsidRPr="00C45DE4" w:rsidP="00C45DE4">
      <w:pPr>
        <w:pStyle w:val="ListBullet2"/>
      </w:pPr>
      <w:r w:rsidRPr="00C45DE4">
        <w:t>steering or suspension system of a third different motorcycle</w:t>
      </w:r>
    </w:p>
    <w:p w:rsidR="00000000" w:rsidRPr="00C45DE4" w:rsidP="00C45DE4">
      <w:pPr>
        <w:pStyle w:val="ListBullet"/>
      </w:pPr>
      <w:r w:rsidRPr="00C45DE4">
        <w:t>the above diagnosis must involve two of the following types of complex faults:</w:t>
      </w:r>
    </w:p>
    <w:p w:rsidR="00000000" w:rsidRPr="00C45DE4" w:rsidP="00C45DE4">
      <w:pPr>
        <w:pStyle w:val="ListBullet2"/>
      </w:pPr>
      <w:r w:rsidRPr="00C45DE4">
        <w:t>an intermittent fault</w:t>
      </w:r>
    </w:p>
    <w:p w:rsidR="00000000" w:rsidRPr="00C45DE4" w:rsidP="00C45DE4">
      <w:pPr>
        <w:pStyle w:val="ListBullet2"/>
      </w:pPr>
      <w:r w:rsidRPr="00C45DE4">
        <w:t>a fault that a</w:t>
      </w:r>
      <w:r w:rsidRPr="00C45DE4">
        <w:t>ffects more than one system</w:t>
      </w:r>
    </w:p>
    <w:p w:rsidR="00000000" w:rsidRPr="00C45DE4" w:rsidP="00C45DE4">
      <w:pPr>
        <w:pStyle w:val="ListBullet2"/>
      </w:pPr>
      <w:r w:rsidRPr="00C45DE4">
        <w:t xml:space="preserve">a fault introduced as a result of a system repair </w:t>
      </w:r>
    </w:p>
    <w:p w:rsidR="00000000" w:rsidRPr="00C45DE4" w:rsidP="00C45DE4">
      <w:pPr>
        <w:pStyle w:val="ListBullet2"/>
      </w:pPr>
      <w:r w:rsidRPr="00C45DE4">
        <w:t>an indirect fault caused by the influence of external systems.</w:t>
      </w:r>
    </w:p>
    <w:p w:rsidR="00000000" w:rsidRPr="00C45DE4" w:rsidP="00C45DE4">
      <w:pPr>
        <w:pStyle w:val="AllowPageBreak"/>
      </w:pPr>
    </w:p>
    <w:p w:rsidR="00000000" w:rsidRPr="00C45DE4" w:rsidP="00C45DE4">
      <w:pPr>
        <w:pStyle w:val="Heading1"/>
      </w:pPr>
      <w:bookmarkStart w:id="3" w:name="O_772965"/>
      <w:bookmarkEnd w:id="3"/>
      <w:r w:rsidRPr="00C45DE4">
        <w:t>Knowledge Evidence</w:t>
      </w:r>
    </w:p>
    <w:p w:rsidR="00000000" w:rsidRPr="00C45DE4" w:rsidP="001F4DE2">
      <w:pPr>
        <w:pStyle w:val="BodyText"/>
      </w:pPr>
      <w:r w:rsidRPr="00C45DE4">
        <w:t>Individuals must be able to demonstrate knowledge of:</w:t>
      </w:r>
    </w:p>
    <w:p w:rsidR="00000000" w:rsidRPr="00C45DE4" w:rsidP="00C45DE4">
      <w:pPr>
        <w:pStyle w:val="ListBullet"/>
      </w:pPr>
      <w:r w:rsidRPr="00C45DE4">
        <w:t xml:space="preserve">work health and safety </w:t>
      </w:r>
      <w:r w:rsidRPr="00C45DE4">
        <w:t>(WHS) and occupational health and safety (OHS) requirements relating to diagnosing motorcycle steering and suspension systems, including procedures for:</w:t>
      </w:r>
    </w:p>
    <w:p w:rsidR="00000000" w:rsidRPr="00C45DE4" w:rsidP="00C45DE4">
      <w:pPr>
        <w:pStyle w:val="ListBullet2"/>
      </w:pPr>
      <w:r w:rsidRPr="00C45DE4">
        <w:t>lifting and supporting motorcycles</w:t>
      </w:r>
    </w:p>
    <w:p w:rsidR="00000000" w:rsidRPr="00C45DE4" w:rsidP="00C45DE4">
      <w:pPr>
        <w:pStyle w:val="ListBullet2"/>
      </w:pPr>
      <w:r w:rsidRPr="00C45DE4">
        <w:t>working with stored energy in springs</w:t>
      </w:r>
    </w:p>
    <w:p w:rsidR="00000000" w:rsidRPr="00C45DE4" w:rsidP="00C45DE4">
      <w:pPr>
        <w:pStyle w:val="ListBullet2"/>
      </w:pPr>
      <w:r w:rsidRPr="00C45DE4">
        <w:t>handling steering system bearing grease</w:t>
      </w:r>
    </w:p>
    <w:p w:rsidR="00000000" w:rsidRPr="00C45DE4" w:rsidP="00C45DE4">
      <w:pPr>
        <w:pStyle w:val="ListBullet"/>
      </w:pPr>
      <w:r w:rsidRPr="00C45DE4">
        <w:t>types of complex faults relating to motorcycle steering and suspension systems, including:</w:t>
      </w:r>
    </w:p>
    <w:p w:rsidR="00000000" w:rsidRPr="00C45DE4" w:rsidP="00C45DE4">
      <w:pPr>
        <w:pStyle w:val="ListBullet2"/>
      </w:pPr>
      <w:r w:rsidRPr="00C45DE4">
        <w:t>intermittent</w:t>
      </w:r>
    </w:p>
    <w:p w:rsidR="00000000" w:rsidRPr="00C45DE4" w:rsidP="00C45DE4">
      <w:pPr>
        <w:pStyle w:val="ListBullet2"/>
      </w:pPr>
      <w:r w:rsidRPr="00C45DE4">
        <w:t>multi-system</w:t>
      </w:r>
    </w:p>
    <w:p w:rsidR="00000000" w:rsidRPr="00C45DE4" w:rsidP="00C45DE4">
      <w:pPr>
        <w:pStyle w:val="ListBullet2"/>
      </w:pPr>
      <w:r w:rsidRPr="00C45DE4">
        <w:t>introduced as a result of system repair</w:t>
      </w:r>
    </w:p>
    <w:p w:rsidR="00000000" w:rsidRPr="00C45DE4" w:rsidP="00C45DE4">
      <w:pPr>
        <w:pStyle w:val="ListBullet2"/>
      </w:pPr>
      <w:r w:rsidRPr="00C45DE4">
        <w:t>indirect, caused by the influence of external systems</w:t>
      </w:r>
    </w:p>
    <w:p w:rsidR="00000000" w:rsidRPr="00C45DE4" w:rsidP="00C45DE4">
      <w:pPr>
        <w:pStyle w:val="ListBullet"/>
      </w:pPr>
      <w:r w:rsidRPr="00C45DE4">
        <w:t>ty</w:t>
      </w:r>
      <w:r w:rsidRPr="00C45DE4">
        <w:t>pes, function and operation of motorcycle steering and suspension systems, including:</w:t>
      </w:r>
    </w:p>
    <w:p w:rsidR="00000000" w:rsidRPr="00C45DE4" w:rsidP="00C45DE4">
      <w:pPr>
        <w:pStyle w:val="ListBullet2"/>
      </w:pPr>
      <w:r w:rsidRPr="00C45DE4">
        <w:t>telescopic forks, including:</w:t>
      </w:r>
    </w:p>
    <w:p w:rsidR="00000000" w:rsidRPr="00C45DE4" w:rsidP="00C45DE4">
      <w:pPr>
        <w:pStyle w:val="ListBullet3"/>
      </w:pPr>
      <w:r w:rsidRPr="00C45DE4">
        <w:t>fork tubes</w:t>
      </w:r>
    </w:p>
    <w:p w:rsidR="00000000" w:rsidRPr="00C45DE4" w:rsidP="00C45DE4">
      <w:pPr>
        <w:pStyle w:val="ListBullet3"/>
      </w:pPr>
      <w:r w:rsidRPr="00C45DE4">
        <w:t>gaiters</w:t>
      </w:r>
    </w:p>
    <w:p w:rsidR="00000000" w:rsidRPr="00C45DE4" w:rsidP="00C45DE4">
      <w:pPr>
        <w:pStyle w:val="ListBullet3"/>
      </w:pPr>
      <w:r w:rsidRPr="00C45DE4">
        <w:t>stanchions</w:t>
      </w:r>
    </w:p>
    <w:p w:rsidR="00000000" w:rsidRPr="00C45DE4" w:rsidP="00C45DE4">
      <w:pPr>
        <w:pStyle w:val="ListBullet3"/>
      </w:pPr>
      <w:r w:rsidRPr="00C45DE4">
        <w:t>triple clamps</w:t>
      </w:r>
    </w:p>
    <w:p w:rsidR="00000000" w:rsidRPr="00C45DE4" w:rsidP="00C45DE4">
      <w:pPr>
        <w:pStyle w:val="ListBullet3"/>
      </w:pPr>
      <w:r w:rsidRPr="00C45DE4">
        <w:t>steering dampers</w:t>
      </w:r>
    </w:p>
    <w:p w:rsidR="00000000" w:rsidRPr="00C45DE4" w:rsidP="00C45DE4">
      <w:pPr>
        <w:pStyle w:val="ListBullet3"/>
      </w:pPr>
      <w:r w:rsidRPr="00C45DE4">
        <w:t>upside down forks</w:t>
      </w:r>
    </w:p>
    <w:p w:rsidR="00000000" w:rsidRPr="00C45DE4" w:rsidP="00C45DE4">
      <w:pPr>
        <w:pStyle w:val="ListBullet3"/>
      </w:pPr>
      <w:r w:rsidRPr="00C45DE4">
        <w:t>anti-dive fork systems</w:t>
      </w:r>
    </w:p>
    <w:p w:rsidR="00000000" w:rsidRPr="00C45DE4" w:rsidP="00C45DE4">
      <w:pPr>
        <w:pStyle w:val="ListBullet2"/>
      </w:pPr>
      <w:r w:rsidRPr="00C45DE4">
        <w:t>trailing link fork suspension</w:t>
      </w:r>
    </w:p>
    <w:p w:rsidR="00000000" w:rsidRPr="00C45DE4" w:rsidP="00C45DE4">
      <w:pPr>
        <w:pStyle w:val="ListBullet2"/>
      </w:pPr>
      <w:r w:rsidRPr="00C45DE4">
        <w:t>leading link fork suspension, including:</w:t>
      </w:r>
    </w:p>
    <w:p w:rsidR="00000000" w:rsidRPr="00C45DE4" w:rsidP="00C45DE4">
      <w:pPr>
        <w:pStyle w:val="ListBullet3"/>
      </w:pPr>
      <w:r w:rsidRPr="00C45DE4">
        <w:t>springer fork</w:t>
      </w:r>
    </w:p>
    <w:p w:rsidR="00000000" w:rsidRPr="00C45DE4" w:rsidP="00C45DE4">
      <w:pPr>
        <w:pStyle w:val="ListBullet3"/>
      </w:pPr>
      <w:r w:rsidRPr="00C45DE4">
        <w:t>Earles fork</w:t>
      </w:r>
    </w:p>
    <w:p w:rsidR="00000000" w:rsidRPr="00C45DE4" w:rsidP="00C45DE4">
      <w:pPr>
        <w:pStyle w:val="ListBullet3"/>
      </w:pPr>
      <w:r w:rsidRPr="00C45DE4">
        <w:t>girder fork</w:t>
      </w:r>
    </w:p>
    <w:p w:rsidR="00000000" w:rsidRPr="00C45DE4" w:rsidP="00C45DE4">
      <w:pPr>
        <w:pStyle w:val="ListBullet3"/>
      </w:pPr>
      <w:r w:rsidRPr="00C45DE4">
        <w:t>Saxon-Motodd (telelever) fork</w:t>
      </w:r>
    </w:p>
    <w:p w:rsidR="00000000" w:rsidRPr="00C45DE4" w:rsidP="00C45DE4">
      <w:pPr>
        <w:pStyle w:val="ListBullet3"/>
      </w:pPr>
      <w:r w:rsidRPr="00C45DE4">
        <w:t>duolever front suspension (Hossack or Fior)</w:t>
      </w:r>
    </w:p>
    <w:p w:rsidR="00000000" w:rsidRPr="00C45DE4" w:rsidP="00C45DE4">
      <w:pPr>
        <w:pStyle w:val="ListBullet3"/>
      </w:pPr>
      <w:r w:rsidRPr="00C45DE4">
        <w:t>coaxial steering front suspension</w:t>
      </w:r>
    </w:p>
    <w:p w:rsidR="00000000" w:rsidRPr="00C45DE4" w:rsidP="00C45DE4">
      <w:pPr>
        <w:pStyle w:val="ListBullet2"/>
      </w:pPr>
      <w:r w:rsidRPr="00C45DE4">
        <w:t>non-fork front suspension, including hub centre steering</w:t>
      </w:r>
    </w:p>
    <w:p w:rsidR="00000000" w:rsidRPr="00C45DE4" w:rsidP="00C45DE4">
      <w:pPr>
        <w:pStyle w:val="ListBullet2"/>
      </w:pPr>
      <w:r w:rsidRPr="00C45DE4">
        <w:t>rear suspension, including:</w:t>
      </w:r>
    </w:p>
    <w:p w:rsidR="00000000" w:rsidRPr="00C45DE4" w:rsidP="00C45DE4">
      <w:pPr>
        <w:pStyle w:val="ListBullet3"/>
      </w:pPr>
      <w:r w:rsidRPr="00C45DE4">
        <w:t>twin shock swingarm</w:t>
      </w:r>
    </w:p>
    <w:p w:rsidR="00000000" w:rsidRPr="00C45DE4" w:rsidP="00C45DE4">
      <w:pPr>
        <w:pStyle w:val="ListBullet3"/>
      </w:pPr>
      <w:r w:rsidRPr="00C45DE4">
        <w:t>monoshock swingarm</w:t>
      </w:r>
    </w:p>
    <w:p w:rsidR="00000000" w:rsidRPr="00C45DE4" w:rsidP="00C45DE4">
      <w:pPr>
        <w:pStyle w:val="ListBullet3"/>
      </w:pPr>
      <w:r w:rsidRPr="00C45DE4">
        <w:t>monoshock single sided swingarm</w:t>
      </w:r>
    </w:p>
    <w:p w:rsidR="00000000" w:rsidRPr="00C45DE4" w:rsidP="00C45DE4">
      <w:pPr>
        <w:pStyle w:val="ListBullet3"/>
      </w:pPr>
      <w:r w:rsidRPr="00C45DE4">
        <w:t>rear monolever</w:t>
      </w:r>
    </w:p>
    <w:p w:rsidR="00000000" w:rsidRPr="00C45DE4" w:rsidP="00C45DE4">
      <w:pPr>
        <w:pStyle w:val="ListBullet3"/>
      </w:pPr>
      <w:r w:rsidRPr="00C45DE4">
        <w:t>rear paralever</w:t>
      </w:r>
    </w:p>
    <w:p w:rsidR="00000000" w:rsidRPr="00C45DE4" w:rsidP="00C45DE4">
      <w:pPr>
        <w:pStyle w:val="ListBullet2"/>
      </w:pPr>
      <w:r w:rsidRPr="00C45DE4">
        <w:t>steering angles, including:</w:t>
      </w:r>
    </w:p>
    <w:p w:rsidR="00000000" w:rsidRPr="00C45DE4" w:rsidP="00C45DE4">
      <w:pPr>
        <w:pStyle w:val="ListBullet3"/>
      </w:pPr>
      <w:r w:rsidRPr="00C45DE4">
        <w:t>wheelbase</w:t>
      </w:r>
    </w:p>
    <w:p w:rsidR="00000000" w:rsidRPr="00C45DE4" w:rsidP="00C45DE4">
      <w:pPr>
        <w:pStyle w:val="ListBullet3"/>
      </w:pPr>
      <w:r w:rsidRPr="00C45DE4">
        <w:t>trail</w:t>
      </w:r>
    </w:p>
    <w:p w:rsidR="00000000" w:rsidRPr="00C45DE4" w:rsidP="00C45DE4">
      <w:pPr>
        <w:pStyle w:val="ListBullet3"/>
      </w:pPr>
      <w:r w:rsidRPr="00C45DE4">
        <w:t>offset</w:t>
      </w:r>
    </w:p>
    <w:p w:rsidR="00000000" w:rsidRPr="00C45DE4" w:rsidP="00C45DE4">
      <w:pPr>
        <w:pStyle w:val="ListBullet3"/>
      </w:pPr>
      <w:r w:rsidRPr="00C45DE4">
        <w:t>rake angle</w:t>
      </w:r>
    </w:p>
    <w:p w:rsidR="00000000" w:rsidRPr="00C45DE4" w:rsidP="00C45DE4">
      <w:pPr>
        <w:pStyle w:val="ListBullet"/>
      </w:pPr>
      <w:r w:rsidRPr="00C45DE4">
        <w:t>testing procedures for motorcycle steering and suspension sys</w:t>
      </w:r>
      <w:r w:rsidRPr="00C45DE4">
        <w:t>tems, including:</w:t>
      </w:r>
    </w:p>
    <w:p w:rsidR="00000000" w:rsidRPr="00C45DE4" w:rsidP="00C45DE4">
      <w:pPr>
        <w:pStyle w:val="ListBullet2"/>
      </w:pPr>
      <w:r w:rsidRPr="00C45DE4">
        <w:t>abnormal noise analysis</w:t>
      </w:r>
    </w:p>
    <w:p w:rsidR="00000000" w:rsidRPr="00C45DE4" w:rsidP="00C45DE4">
      <w:pPr>
        <w:pStyle w:val="ListBullet2"/>
      </w:pPr>
      <w:r w:rsidRPr="00C45DE4">
        <w:t>component failure analysis</w:t>
      </w:r>
    </w:p>
    <w:p w:rsidR="00000000" w:rsidRPr="00C45DE4" w:rsidP="00C45DE4">
      <w:pPr>
        <w:pStyle w:val="ListBullet"/>
      </w:pPr>
      <w:r w:rsidRPr="00C45DE4">
        <w:t xml:space="preserve">types, functions, operation and limitations of diagnostic testing equipment required to diagnose complex faults in motorcycle steering and suspension systems </w:t>
      </w:r>
    </w:p>
    <w:p w:rsidR="00000000" w:rsidRPr="00C45DE4" w:rsidP="00C45DE4">
      <w:pPr>
        <w:pStyle w:val="ListBullet"/>
      </w:pPr>
      <w:r w:rsidRPr="00C45DE4">
        <w:t>methods and processes for documenting and reporting diagnostic findings and recommendations.</w:t>
      </w:r>
    </w:p>
    <w:p w:rsidR="00000000" w:rsidRPr="00C45DE4" w:rsidP="00C45DE4">
      <w:pPr>
        <w:pStyle w:val="AllowPageBreak"/>
      </w:pPr>
    </w:p>
    <w:p w:rsidR="00000000" w:rsidRPr="00C45DE4" w:rsidP="00C45DE4">
      <w:pPr>
        <w:pStyle w:val="Heading1"/>
      </w:pPr>
      <w:bookmarkStart w:id="4" w:name="O_772966"/>
      <w:bookmarkEnd w:id="4"/>
      <w:r w:rsidRPr="00C45DE4">
        <w:t>Assessment Conditions</w:t>
      </w:r>
    </w:p>
    <w:p w:rsidR="00000000" w:rsidRPr="00C45DE4" w:rsidP="001F4DE2">
      <w:pPr>
        <w:pStyle w:val="BodyText"/>
      </w:pPr>
      <w:r w:rsidRPr="00C45DE4">
        <w:t>Assessors must satisfy NVR/AQTF assessor requirements.</w:t>
      </w:r>
    </w:p>
    <w:p w:rsidR="00000000" w:rsidRPr="00C45DE4" w:rsidP="001F4DE2">
      <w:pPr>
        <w:pStyle w:val="BodyText"/>
      </w:pPr>
      <w:r w:rsidRPr="00C45DE4">
        <w:t>Competency is to be assessed in the workplace or a simulated environ</w:t>
      </w:r>
      <w:r w:rsidRPr="00C45DE4">
        <w:t>ment that accurately reflects performance in a real workplace setting.</w:t>
      </w:r>
    </w:p>
    <w:p w:rsidR="00000000" w:rsidRPr="00C45DE4" w:rsidP="001F4DE2">
      <w:pPr>
        <w:pStyle w:val="BodyText"/>
      </w:pPr>
      <w:r w:rsidRPr="00C45DE4">
        <w:t>Assessment must include direct observation of tasks.</w:t>
      </w:r>
    </w:p>
    <w:p w:rsidR="00000000" w:rsidRPr="00C45DE4" w:rsidP="001F4DE2">
      <w:pPr>
        <w:pStyle w:val="BodyText"/>
      </w:pPr>
      <w:r w:rsidRPr="00C45DE4">
        <w:t xml:space="preserve">Where assessment of competency includes third-party evidence, individuals must provide evidence that links them to the motorcycle </w:t>
      </w:r>
      <w:r w:rsidRPr="00C45DE4">
        <w:t>steering and suspension systems that they have worked on, e.g. repair orders.</w:t>
      </w:r>
    </w:p>
    <w:p w:rsidR="00000000" w:rsidRPr="00C45DE4" w:rsidP="001F4DE2">
      <w:pPr>
        <w:pStyle w:val="BodyText"/>
      </w:pPr>
      <w:r w:rsidRPr="00C45DE4">
        <w:t>Assessors must verify performance evidence through questioning on skills and knowledge to ensure correct interpretation and application.</w:t>
      </w:r>
    </w:p>
    <w:p w:rsidR="00000000" w:rsidRPr="00C45DE4" w:rsidP="001F4DE2">
      <w:pPr>
        <w:pStyle w:val="BodyText"/>
      </w:pPr>
      <w:r w:rsidRPr="00C45DE4">
        <w:t>The following resources must be made available:</w:t>
      </w:r>
    </w:p>
    <w:p w:rsidR="00000000" w:rsidRPr="00C45DE4" w:rsidP="00C45DE4">
      <w:pPr>
        <w:pStyle w:val="ListBullet"/>
      </w:pPr>
      <w:r w:rsidRPr="00C45DE4">
        <w:t>automotive repair workplace or simulated workplace</w:t>
      </w:r>
    </w:p>
    <w:p w:rsidR="00000000" w:rsidRPr="00C45DE4" w:rsidP="00C45DE4">
      <w:pPr>
        <w:pStyle w:val="ListBullet"/>
      </w:pPr>
      <w:r w:rsidRPr="00C45DE4">
        <w:t>workplace instructions</w:t>
      </w:r>
    </w:p>
    <w:p w:rsidR="00000000" w:rsidRPr="00C45DE4" w:rsidP="00C45DE4">
      <w:pPr>
        <w:pStyle w:val="ListBullet"/>
      </w:pPr>
      <w:r w:rsidRPr="00C45DE4">
        <w:t>manufacturer motorcycle steering and suspension specifications</w:t>
      </w:r>
    </w:p>
    <w:p w:rsidR="00000000" w:rsidRPr="00C45DE4" w:rsidP="00C45DE4">
      <w:pPr>
        <w:pStyle w:val="ListBullet"/>
      </w:pPr>
      <w:r w:rsidRPr="00C45DE4">
        <w:t xml:space="preserve">three different motorcycles with complex faults in their steering and </w:t>
      </w:r>
      <w:r w:rsidRPr="00C45DE4">
        <w:t>suspension systems</w:t>
      </w:r>
    </w:p>
    <w:p w:rsidR="00000000" w:rsidRPr="00C45DE4" w:rsidP="00C45DE4">
      <w:pPr>
        <w:pStyle w:val="ListBullet"/>
      </w:pPr>
      <w:r w:rsidRPr="00C45DE4">
        <w:t xml:space="preserve">diagnostic equipment for motorcycle steering and suspension systems </w:t>
      </w:r>
    </w:p>
    <w:p w:rsidR="00000000" w:rsidRPr="00C45DE4" w:rsidP="00C45DE4">
      <w:pPr>
        <w:pStyle w:val="ListBullet"/>
      </w:pPr>
      <w:r w:rsidRPr="00C45DE4">
        <w:t>tools, equipment and materials appropriate for diagnosing complex faults in motorcycle steering and suspension systems.</w:t>
      </w:r>
    </w:p>
    <w:p w:rsidR="00000000" w:rsidRPr="00C45DE4" w:rsidP="00C45DE4">
      <w:pPr>
        <w:pStyle w:val="AllowPageBreak"/>
      </w:pPr>
    </w:p>
    <w:p w:rsidR="00000000" w:rsidRPr="00C45DE4" w:rsidP="00C45DE4">
      <w:pPr>
        <w:pStyle w:val="Heading1"/>
      </w:pPr>
      <w:bookmarkStart w:id="5" w:name="O_772969"/>
      <w:bookmarkEnd w:id="5"/>
      <w:r w:rsidRPr="00C45DE4">
        <w:t>Links</w:t>
      </w:r>
    </w:p>
    <w:p w:rsidR="00000000" w:rsidRPr="00C45DE4" w:rsidP="001F4DE2">
      <w:pPr>
        <w:pStyle w:val="BodyText"/>
      </w:pPr>
      <w:r w:rsidRPr="00C45DE4">
        <w:t>Companion Volume implemen</w:t>
      </w:r>
      <w:r w:rsidRPr="00C45DE4">
        <w:t xml:space="preserve">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574F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45DE4" w:rsidP="001F4DE2">
      <w:pPr>
        <w:pStyle w:val="BodyText"/>
      </w:pPr>
      <w:r w:rsidRPr="00C45DE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574F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45DE4" w:rsidP="00C45DE4"/>
    <w:sectPr w:rsidSect="00C45D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D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DE4" w:rsidRPr="001F4DE2" w:rsidP="001F4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D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E2" w:rsidP="00C45D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4DE2" w:rsidP="00C45D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4DE2" w:rsidP="00C45D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D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DE4" w:rsidRPr="001F4DE2" w:rsidP="001F4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D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E2" w:rsidRPr="002D2AF8" w:rsidP="00C45D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AURJTD005 Diagnose complex faults in motorcycle steering and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1F4DE2" w:rsidP="00C45D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6C77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B0C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CAEA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D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D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D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D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D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D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D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D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D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D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D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DE4"/>
  </w:style>
  <w:style w:type="character" w:customStyle="1" w:styleId="Heading1Char">
    <w:name w:val="Heading 1 Char"/>
    <w:basedOn w:val="DefaultParagraphFont"/>
    <w:link w:val="Heading1"/>
    <w:rsid w:val="00C45D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D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D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5DE4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5DE4"/>
    <w:rPr>
      <w:b/>
      <w:spacing w:val="0"/>
    </w:rPr>
  </w:style>
  <w:style w:type="paragraph" w:styleId="ListBullet2">
    <w:name w:val="List Bullet 2"/>
    <w:basedOn w:val="List2"/>
    <w:rsid w:val="00C45DE4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5D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D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45DE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45D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D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D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D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D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D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D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D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D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D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D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D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D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D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D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5D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D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D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D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5D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D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D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D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D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D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D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D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D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DE4"/>
    <w:rPr>
      <w:i/>
    </w:rPr>
  </w:style>
  <w:style w:type="paragraph" w:styleId="Caption">
    <w:name w:val="caption"/>
    <w:basedOn w:val="BodyText"/>
    <w:next w:val="Normal"/>
    <w:qFormat/>
    <w:rsid w:val="00C45D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D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D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DE4"/>
  </w:style>
  <w:style w:type="paragraph" w:styleId="TableofFigures">
    <w:name w:val="table of figures"/>
    <w:basedOn w:val="Normal"/>
    <w:next w:val="Normal"/>
    <w:semiHidden/>
    <w:rsid w:val="00C45D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DE4"/>
    <w:pPr>
      <w:numPr>
        <w:numId w:val="12"/>
      </w:numPr>
    </w:pPr>
  </w:style>
  <w:style w:type="character" w:customStyle="1" w:styleId="WingdingSymbols">
    <w:name w:val="Wingding Symbols"/>
    <w:rsid w:val="00C45DE4"/>
    <w:rPr>
      <w:rFonts w:ascii="Wingdings" w:hAnsi="Wingdings"/>
    </w:rPr>
  </w:style>
  <w:style w:type="paragraph" w:customStyle="1" w:styleId="TableHeading">
    <w:name w:val="Table Heading"/>
    <w:basedOn w:val="HeadingBase"/>
    <w:rsid w:val="00C45D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DE4"/>
    <w:rPr>
      <w:color w:val="0033CC"/>
      <w:u w:val="none"/>
    </w:rPr>
  </w:style>
  <w:style w:type="paragraph" w:customStyle="1" w:styleId="BodyTextRight">
    <w:name w:val="Body Text Right"/>
    <w:basedOn w:val="BodyText"/>
    <w:rsid w:val="00C45D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D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DE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D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D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D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DE4"/>
    <w:rPr>
      <w:sz w:val="32"/>
    </w:rPr>
  </w:style>
  <w:style w:type="paragraph" w:customStyle="1" w:styleId="HeadingProcedure">
    <w:name w:val="Heading Procedure"/>
    <w:basedOn w:val="HeadingBase"/>
    <w:next w:val="Normal"/>
    <w:rsid w:val="00C45D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DE4"/>
    <w:pPr>
      <w:spacing w:before="60" w:after="60"/>
    </w:pPr>
  </w:style>
  <w:style w:type="paragraph" w:styleId="ListContinue">
    <w:name w:val="List Continue"/>
    <w:basedOn w:val="List"/>
    <w:rsid w:val="00C45DE4"/>
    <w:pPr>
      <w:ind w:firstLine="0"/>
    </w:pPr>
  </w:style>
  <w:style w:type="paragraph" w:customStyle="1" w:styleId="ListNote">
    <w:name w:val="List Note"/>
    <w:basedOn w:val="List"/>
    <w:rsid w:val="00C45D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D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D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DE4"/>
    <w:rPr>
      <w:rFonts w:ascii="Courier New" w:hAnsi="Courier New"/>
    </w:rPr>
  </w:style>
  <w:style w:type="paragraph" w:customStyle="1" w:styleId="NoteBullet">
    <w:name w:val="Note Bullet"/>
    <w:basedOn w:val="Note"/>
    <w:rsid w:val="00C45D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D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D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D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DE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45D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D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DE4"/>
    <w:rPr>
      <w:b/>
      <w:smallCaps/>
    </w:rPr>
  </w:style>
  <w:style w:type="paragraph" w:customStyle="1" w:styleId="TableListNumber">
    <w:name w:val="Table List Number"/>
    <w:basedOn w:val="ListNumber"/>
    <w:rsid w:val="00C45D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D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DE4"/>
    <w:pPr>
      <w:numPr>
        <w:numId w:val="10"/>
      </w:numPr>
    </w:pPr>
  </w:style>
  <w:style w:type="paragraph" w:customStyle="1" w:styleId="ListAlpha2">
    <w:name w:val="List Alpha 2"/>
    <w:basedOn w:val="List2"/>
    <w:rsid w:val="00C45DE4"/>
    <w:pPr>
      <w:numPr>
        <w:numId w:val="9"/>
      </w:numPr>
    </w:pPr>
  </w:style>
  <w:style w:type="paragraph" w:styleId="List2">
    <w:name w:val="List 2"/>
    <w:basedOn w:val="BodyText"/>
    <w:rsid w:val="00C45D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D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D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DE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45DE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45DE4"/>
    <w:pPr>
      <w:numPr>
        <w:numId w:val="5"/>
      </w:numPr>
    </w:pPr>
  </w:style>
  <w:style w:type="paragraph" w:styleId="ListContinue2">
    <w:name w:val="List Continue 2"/>
    <w:basedOn w:val="List2"/>
    <w:rsid w:val="00C45DE4"/>
    <w:pPr>
      <w:ind w:firstLine="0"/>
    </w:pPr>
  </w:style>
  <w:style w:type="paragraph" w:styleId="ListContinue3">
    <w:name w:val="List Continue 3"/>
    <w:basedOn w:val="List3"/>
    <w:rsid w:val="00C45DE4"/>
    <w:pPr>
      <w:ind w:left="1021" w:firstLine="0"/>
    </w:pPr>
  </w:style>
  <w:style w:type="paragraph" w:styleId="ListContinue4">
    <w:name w:val="List Continue 4"/>
    <w:basedOn w:val="List4"/>
    <w:rsid w:val="00C45DE4"/>
    <w:pPr>
      <w:ind w:firstLine="0"/>
    </w:pPr>
  </w:style>
  <w:style w:type="paragraph" w:styleId="ListContinue5">
    <w:name w:val="List Continue 5"/>
    <w:basedOn w:val="List5"/>
    <w:rsid w:val="00C45DE4"/>
    <w:pPr>
      <w:ind w:firstLine="0"/>
    </w:pPr>
  </w:style>
  <w:style w:type="paragraph" w:styleId="ListNumber3">
    <w:name w:val="List Number 3"/>
    <w:basedOn w:val="List3"/>
    <w:rsid w:val="00C45DE4"/>
    <w:pPr>
      <w:numPr>
        <w:numId w:val="6"/>
      </w:numPr>
    </w:pPr>
  </w:style>
  <w:style w:type="paragraph" w:styleId="ListNumber4">
    <w:name w:val="List Number 4"/>
    <w:basedOn w:val="List4"/>
    <w:rsid w:val="00C45DE4"/>
    <w:pPr>
      <w:numPr>
        <w:numId w:val="7"/>
      </w:numPr>
    </w:pPr>
  </w:style>
  <w:style w:type="paragraph" w:styleId="ListNumber5">
    <w:name w:val="List Number 5"/>
    <w:basedOn w:val="List5"/>
    <w:rsid w:val="00C45DE4"/>
    <w:pPr>
      <w:numPr>
        <w:numId w:val="8"/>
      </w:numPr>
    </w:pPr>
  </w:style>
  <w:style w:type="paragraph" w:styleId="BlockText">
    <w:name w:val="Block Text"/>
    <w:basedOn w:val="Normal"/>
    <w:rsid w:val="00C45D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D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DE4"/>
    <w:rPr>
      <w:sz w:val="16"/>
      <w:vertAlign w:val="superscript"/>
    </w:rPr>
  </w:style>
  <w:style w:type="character" w:customStyle="1" w:styleId="Symbols">
    <w:name w:val="Symbols"/>
    <w:basedOn w:val="DefaultParagraphFont"/>
    <w:rsid w:val="00C45DE4"/>
    <w:rPr>
      <w:rFonts w:ascii="Symbol" w:hAnsi="Symbol"/>
    </w:rPr>
  </w:style>
  <w:style w:type="character" w:customStyle="1" w:styleId="MenuOptions">
    <w:name w:val="Menu Options"/>
    <w:basedOn w:val="DefaultParagraphFont"/>
    <w:rsid w:val="00C45D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DE4"/>
    <w:rPr>
      <w:b/>
    </w:rPr>
  </w:style>
  <w:style w:type="character" w:customStyle="1" w:styleId="Underlined">
    <w:name w:val="Underlined"/>
    <w:basedOn w:val="DefaultParagraphFont"/>
    <w:rsid w:val="00C45DE4"/>
    <w:rPr>
      <w:u w:val="single"/>
    </w:rPr>
  </w:style>
  <w:style w:type="paragraph" w:customStyle="1" w:styleId="TableBodyTextRight">
    <w:name w:val="Table Body Text Right"/>
    <w:basedOn w:val="TableBodyText"/>
    <w:rsid w:val="00C45D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DE4"/>
    <w:rPr>
      <w:sz w:val="18"/>
    </w:rPr>
  </w:style>
  <w:style w:type="paragraph" w:customStyle="1" w:styleId="BodySmallRight">
    <w:name w:val="Body Small Right"/>
    <w:basedOn w:val="BodyTextRight"/>
    <w:rsid w:val="00C45DE4"/>
    <w:rPr>
      <w:sz w:val="18"/>
      <w:szCs w:val="18"/>
    </w:rPr>
  </w:style>
  <w:style w:type="paragraph" w:customStyle="1" w:styleId="MarginEdition">
    <w:name w:val="Margin Edition"/>
    <w:basedOn w:val="MarginNote"/>
    <w:rsid w:val="00C45D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DE4"/>
    <w:rPr>
      <w:sz w:val="2"/>
      <w:szCs w:val="2"/>
    </w:rPr>
  </w:style>
  <w:style w:type="character" w:customStyle="1" w:styleId="Small">
    <w:name w:val="Small"/>
    <w:basedOn w:val="DefaultParagraphFont"/>
    <w:rsid w:val="00C45DE4"/>
    <w:rPr>
      <w:sz w:val="16"/>
    </w:rPr>
  </w:style>
  <w:style w:type="paragraph" w:customStyle="1" w:styleId="WideTable">
    <w:name w:val="Wide Table"/>
    <w:basedOn w:val="Normal"/>
    <w:rsid w:val="00C45D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DE4"/>
  </w:style>
  <w:style w:type="paragraph" w:styleId="Quote">
    <w:name w:val="Quote"/>
    <w:basedOn w:val="Heading1"/>
    <w:link w:val="QuoteChar"/>
    <w:qFormat/>
    <w:rsid w:val="00C45D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D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DE4"/>
    <w:pPr>
      <w:pageBreakBefore/>
    </w:pPr>
  </w:style>
  <w:style w:type="paragraph" w:customStyle="1" w:styleId="Border">
    <w:name w:val="Border"/>
    <w:basedOn w:val="Normal"/>
    <w:qFormat/>
    <w:rsid w:val="00C45D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D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D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D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D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D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D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D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D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DE4"/>
    <w:rPr>
      <w:u w:val="single"/>
    </w:rPr>
  </w:style>
  <w:style w:type="character" w:customStyle="1" w:styleId="BoldandItalics">
    <w:name w:val="Bold and Italics"/>
    <w:qFormat/>
    <w:rsid w:val="00C45DE4"/>
    <w:rPr>
      <w:b/>
      <w:i/>
      <w:u w:val="none"/>
    </w:rPr>
  </w:style>
  <w:style w:type="paragraph" w:styleId="BalloonText">
    <w:name w:val="Balloon Text"/>
    <w:basedOn w:val="Normal"/>
    <w:link w:val="BalloonTextChar"/>
    <w:rsid w:val="00C45D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D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D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D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D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D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D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F4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3762</Characters>
  <Application>Microsoft Office Word</Application>
  <DocSecurity>0</DocSecurity>
  <Lines>117</Lines>
  <Paragraphs>95</Paragraphs>
  <ScaleCrop>false</ScaleCrop>
  <Company>Author-it Software Corporation Ltd.</Company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AURJTD005 Diagnose complex faults in motorcycle steering and suspension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2018-12-07T01:20:00Z</dcterms:created>
  <dcterms:modified xsi:type="dcterms:W3CDTF">2018-12-07T01:20:00Z</dcterms:modified>
</cp:coreProperties>
</file>